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757555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Q</w:t>
      </w:r>
      <w:r>
        <w:rPr>
          <w:rFonts w:ascii="Times New Roman" w:cs="Times New Roman" w:eastAsia="Times New Roman" w:hAnsi="Times New Roman"/>
          <w:sz w:val="32"/>
          <w:szCs w:val="32"/>
          <w:b w:val="1"/>
          <w:bCs w:val="1"/>
          <w:color w:val="auto"/>
        </w:rPr>
        <w:t>UIN</w:t>
      </w:r>
      <w:r>
        <w:rPr>
          <w:rFonts w:ascii="Times New Roman" w:cs="Times New Roman" w:eastAsia="Times New Roman" w:hAnsi="Times New Roman"/>
          <w:sz w:val="43"/>
          <w:szCs w:val="43"/>
          <w:b w:val="1"/>
          <w:bCs w:val="1"/>
          <w:color w:val="auto"/>
        </w:rPr>
        <w:t>S</w:t>
      </w:r>
      <w:r>
        <w:rPr>
          <w:rFonts w:ascii="Times New Roman" w:cs="Times New Roman" w:eastAsia="Times New Roman" w:hAnsi="Times New Roman"/>
          <w:sz w:val="32"/>
          <w:szCs w:val="32"/>
          <w:b w:val="1"/>
          <w:bCs w:val="1"/>
          <w:color w:val="auto"/>
        </w:rPr>
        <w:t>TREET</w:t>
      </w:r>
      <w:r>
        <w:rPr>
          <w:rFonts w:ascii="Times New Roman" w:cs="Times New Roman" w:eastAsia="Times New Roman" w:hAnsi="Times New Roman"/>
          <w:sz w:val="43"/>
          <w:szCs w:val="43"/>
          <w:b w:val="1"/>
          <w:bCs w:val="1"/>
          <w:color w:val="auto"/>
        </w:rPr>
        <w:t>, I</w:t>
      </w:r>
      <w:r>
        <w:rPr>
          <w:rFonts w:ascii="Times New Roman" w:cs="Times New Roman" w:eastAsia="Times New Roman" w:hAnsi="Times New Roman"/>
          <w:sz w:val="32"/>
          <w:szCs w:val="32"/>
          <w:b w:val="1"/>
          <w:bCs w:val="1"/>
          <w:color w:val="auto"/>
        </w:rPr>
        <w:t>NC</w:t>
      </w:r>
      <w:r>
        <w:rPr>
          <w:rFonts w:ascii="Times New Roman" w:cs="Times New Roman" w:eastAsia="Times New Roman" w:hAnsi="Times New Roman"/>
          <w:sz w:val="43"/>
          <w:szCs w:val="43"/>
          <w:b w:val="1"/>
          <w:bCs w:val="1"/>
          <w:color w:val="auto"/>
        </w:rPr>
        <w:t>.</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100" w:type="dxa"/>
        <w:tblCellMar>
          <w:top w:w="0" w:type="dxa"/>
          <w:left w:w="0" w:type="dxa"/>
          <w:bottom w:w="0" w:type="dxa"/>
          <w:right w:w="0" w:type="dxa"/>
        </w:tblCellMar>
      </w:tblPr>
      <w:tr>
        <w:trPr>
          <w:trHeight w:val="214"/>
        </w:trPr>
        <w:tc>
          <w:tcPr>
            <w:tcW w:w="1780" w:type="dxa"/>
            <w:vAlign w:val="bottom"/>
          </w:tcPr>
          <w:p>
            <w:pPr>
              <w:jc w:val="center"/>
              <w:ind w:right="6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860" w:type="dxa"/>
            <w:vAlign w:val="bottom"/>
            <w:gridSpan w:val="2"/>
          </w:tcPr>
          <w:p>
            <w:pPr>
              <w:ind w:left="2240"/>
              <w:spacing w:after="0"/>
              <w:rPr>
                <w:sz w:val="20"/>
                <w:szCs w:val="20"/>
                <w:color w:val="auto"/>
              </w:rPr>
            </w:pPr>
            <w:r>
              <w:rPr>
                <w:rFonts w:ascii="Times New Roman" w:cs="Times New Roman" w:eastAsia="Times New Roman" w:hAnsi="Times New Roman"/>
                <w:sz w:val="18"/>
                <w:szCs w:val="18"/>
                <w:b w:val="1"/>
                <w:bCs w:val="1"/>
                <w:color w:val="auto"/>
              </w:rPr>
              <w:t>001-34628</w:t>
            </w:r>
          </w:p>
        </w:tc>
        <w:tc>
          <w:tcPr>
            <w:tcW w:w="1680" w:type="dxa"/>
            <w:vAlign w:val="bottom"/>
          </w:tcPr>
          <w:p>
            <w:pPr>
              <w:spacing w:after="0"/>
              <w:rPr>
                <w:sz w:val="18"/>
                <w:szCs w:val="18"/>
                <w:color w:val="auto"/>
              </w:rPr>
            </w:pPr>
          </w:p>
        </w:tc>
        <w:tc>
          <w:tcPr>
            <w:tcW w:w="1340" w:type="dxa"/>
            <w:vAlign w:val="bottom"/>
          </w:tcPr>
          <w:p>
            <w:pPr>
              <w:jc w:val="center"/>
              <w:ind w:left="142"/>
              <w:spacing w:after="0"/>
              <w:rPr>
                <w:sz w:val="20"/>
                <w:szCs w:val="20"/>
                <w:color w:val="auto"/>
              </w:rPr>
            </w:pPr>
            <w:r>
              <w:rPr>
                <w:rFonts w:ascii="Times New Roman" w:cs="Times New Roman" w:eastAsia="Times New Roman" w:hAnsi="Times New Roman"/>
                <w:sz w:val="18"/>
                <w:szCs w:val="18"/>
                <w:b w:val="1"/>
                <w:bCs w:val="1"/>
                <w:color w:val="auto"/>
              </w:rPr>
              <w:t>77-0512121</w:t>
            </w:r>
          </w:p>
        </w:tc>
      </w:tr>
      <w:tr>
        <w:trPr>
          <w:trHeight w:val="148"/>
        </w:trPr>
        <w:tc>
          <w:tcPr>
            <w:tcW w:w="178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1620" w:type="dxa"/>
            <w:vAlign w:val="bottom"/>
          </w:tcPr>
          <w:p>
            <w:pPr>
              <w:spacing w:after="0"/>
              <w:rPr>
                <w:sz w:val="12"/>
                <w:szCs w:val="12"/>
                <w:color w:val="auto"/>
              </w:rPr>
            </w:pPr>
          </w:p>
        </w:tc>
        <w:tc>
          <w:tcPr>
            <w:tcW w:w="3920" w:type="dxa"/>
            <w:vAlign w:val="bottom"/>
            <w:gridSpan w:val="2"/>
          </w:tcPr>
          <w:p>
            <w:pPr>
              <w:ind w:left="60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340" w:type="dxa"/>
            <w:vAlign w:val="bottom"/>
          </w:tcPr>
          <w:p>
            <w:pPr>
              <w:jc w:val="center"/>
              <w:ind w:left="14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78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1620" w:type="dxa"/>
            <w:vAlign w:val="bottom"/>
          </w:tcPr>
          <w:p>
            <w:pPr>
              <w:spacing w:after="0"/>
              <w:rPr>
                <w:sz w:val="16"/>
                <w:szCs w:val="16"/>
                <w:color w:val="auto"/>
              </w:rPr>
            </w:pPr>
          </w:p>
        </w:tc>
        <w:tc>
          <w:tcPr>
            <w:tcW w:w="392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340" w:type="dxa"/>
            <w:vAlign w:val="bottom"/>
          </w:tcPr>
          <w:p>
            <w:pPr>
              <w:jc w:val="center"/>
              <w:ind w:left="14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8"/>
        </w:trPr>
        <w:tc>
          <w:tcPr>
            <w:tcW w:w="17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920" w:type="dxa"/>
            <w:vAlign w:val="bottom"/>
            <w:gridSpan w:val="2"/>
          </w:tcPr>
          <w:p>
            <w:pPr>
              <w:jc w:val="center"/>
              <w:ind w:right="1720"/>
              <w:spacing w:after="0"/>
              <w:rPr>
                <w:sz w:val="20"/>
                <w:szCs w:val="20"/>
                <w:color w:val="auto"/>
              </w:rPr>
            </w:pPr>
            <w:r>
              <w:rPr>
                <w:rFonts w:ascii="Times New Roman" w:cs="Times New Roman" w:eastAsia="Times New Roman" w:hAnsi="Times New Roman"/>
                <w:sz w:val="18"/>
                <w:szCs w:val="18"/>
                <w:b w:val="1"/>
                <w:bCs w:val="1"/>
                <w:color w:val="auto"/>
                <w:w w:val="98"/>
              </w:rPr>
              <w:t>950 Tower Lane, 12</w:t>
            </w:r>
            <w:r>
              <w:rPr>
                <w:rFonts w:ascii="Times New Roman" w:cs="Times New Roman" w:eastAsia="Times New Roman" w:hAnsi="Times New Roman"/>
                <w:sz w:val="20"/>
                <w:szCs w:val="20"/>
                <w:b w:val="1"/>
                <w:bCs w:val="1"/>
                <w:color w:val="auto"/>
                <w:w w:val="98"/>
                <w:vertAlign w:val="superscript"/>
              </w:rPr>
              <w:t>th</w:t>
            </w:r>
            <w:r>
              <w:rPr>
                <w:rFonts w:ascii="Times New Roman" w:cs="Times New Roman" w:eastAsia="Times New Roman" w:hAnsi="Times New Roman"/>
                <w:sz w:val="18"/>
                <w:szCs w:val="18"/>
                <w:b w:val="1"/>
                <w:bCs w:val="1"/>
                <w:color w:val="auto"/>
                <w:w w:val="98"/>
              </w:rPr>
              <w:t xml:space="preserve"> Floor</w:t>
            </w:r>
          </w:p>
        </w:tc>
        <w:tc>
          <w:tcPr>
            <w:tcW w:w="1340" w:type="dxa"/>
            <w:vAlign w:val="bottom"/>
          </w:tcPr>
          <w:p>
            <w:pPr>
              <w:spacing w:after="0"/>
              <w:rPr>
                <w:sz w:val="24"/>
                <w:szCs w:val="24"/>
                <w:color w:val="auto"/>
              </w:rPr>
            </w:pPr>
          </w:p>
        </w:tc>
      </w:tr>
      <w:tr>
        <w:trPr>
          <w:trHeight w:val="214"/>
        </w:trPr>
        <w:tc>
          <w:tcPr>
            <w:tcW w:w="17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920" w:type="dxa"/>
            <w:vAlign w:val="bottom"/>
            <w:gridSpan w:val="2"/>
          </w:tcPr>
          <w:p>
            <w:pPr>
              <w:jc w:val="center"/>
              <w:ind w:right="1720"/>
              <w:spacing w:after="0"/>
              <w:rPr>
                <w:sz w:val="20"/>
                <w:szCs w:val="20"/>
                <w:color w:val="auto"/>
              </w:rPr>
            </w:pPr>
            <w:r>
              <w:rPr>
                <w:rFonts w:ascii="Times New Roman" w:cs="Times New Roman" w:eastAsia="Times New Roman" w:hAnsi="Times New Roman"/>
                <w:sz w:val="18"/>
                <w:szCs w:val="18"/>
                <w:b w:val="1"/>
                <w:bCs w:val="1"/>
                <w:color w:val="auto"/>
              </w:rPr>
              <w:t>Foster City, CA 94404</w:t>
            </w:r>
          </w:p>
        </w:tc>
        <w:tc>
          <w:tcPr>
            <w:tcW w:w="1340" w:type="dxa"/>
            <w:vAlign w:val="bottom"/>
          </w:tcPr>
          <w:p>
            <w:pPr>
              <w:spacing w:after="0"/>
              <w:rPr>
                <w:sz w:val="18"/>
                <w:szCs w:val="18"/>
                <w:color w:val="auto"/>
              </w:rPr>
            </w:pPr>
          </w:p>
        </w:tc>
      </w:tr>
      <w:tr>
        <w:trPr>
          <w:trHeight w:val="190"/>
        </w:trPr>
        <w:tc>
          <w:tcPr>
            <w:tcW w:w="1780" w:type="dxa"/>
            <w:vAlign w:val="bottom"/>
          </w:tcPr>
          <w:p>
            <w:pPr>
              <w:spacing w:after="0"/>
              <w:rPr>
                <w:sz w:val="16"/>
                <w:szCs w:val="16"/>
                <w:color w:val="auto"/>
              </w:rPr>
            </w:pPr>
          </w:p>
        </w:tc>
        <w:tc>
          <w:tcPr>
            <w:tcW w:w="55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tc>
        <w:tc>
          <w:tcPr>
            <w:tcW w:w="1340" w:type="dxa"/>
            <w:vAlign w:val="bottom"/>
          </w:tcPr>
          <w:p>
            <w:pPr>
              <w:spacing w:after="0"/>
              <w:rPr>
                <w:sz w:val="16"/>
                <w:szCs w:val="16"/>
                <w:color w:val="auto"/>
              </w:rPr>
            </w:pPr>
          </w:p>
        </w:tc>
      </w:tr>
      <w:tr>
        <w:trPr>
          <w:trHeight w:val="307"/>
        </w:trPr>
        <w:tc>
          <w:tcPr>
            <w:tcW w:w="1780" w:type="dxa"/>
            <w:vAlign w:val="bottom"/>
          </w:tcPr>
          <w:p>
            <w:pPr>
              <w:spacing w:after="0"/>
              <w:rPr>
                <w:sz w:val="24"/>
                <w:szCs w:val="24"/>
                <w:color w:val="auto"/>
              </w:rPr>
            </w:pPr>
          </w:p>
        </w:tc>
        <w:tc>
          <w:tcPr>
            <w:tcW w:w="55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(650) 578-7700</w:t>
            </w:r>
          </w:p>
        </w:tc>
        <w:tc>
          <w:tcPr>
            <w:tcW w:w="1340" w:type="dxa"/>
            <w:vAlign w:val="bottom"/>
          </w:tcPr>
          <w:p>
            <w:pPr>
              <w:spacing w:after="0"/>
              <w:rPr>
                <w:sz w:val="24"/>
                <w:szCs w:val="24"/>
                <w:color w:val="auto"/>
              </w:rPr>
            </w:pPr>
          </w:p>
        </w:tc>
      </w:tr>
      <w:tr>
        <w:trPr>
          <w:trHeight w:val="135"/>
        </w:trPr>
        <w:tc>
          <w:tcPr>
            <w:tcW w:w="17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240" w:type="dxa"/>
            <w:vAlign w:val="bottom"/>
            <w:tcBorders>
              <w:bottom w:val="single" w:sz="8" w:color="auto"/>
            </w:tcBorders>
          </w:tcPr>
          <w:p>
            <w:pPr>
              <w:spacing w:after="0"/>
              <w:rPr>
                <w:sz w:val="11"/>
                <w:szCs w:val="11"/>
                <w:color w:val="auto"/>
              </w:rPr>
            </w:pPr>
          </w:p>
        </w:tc>
        <w:tc>
          <w:tcPr>
            <w:tcW w:w="1680" w:type="dxa"/>
            <w:vAlign w:val="bottom"/>
          </w:tcPr>
          <w:p>
            <w:pPr>
              <w:spacing w:after="0"/>
              <w:rPr>
                <w:sz w:val="11"/>
                <w:szCs w:val="11"/>
                <w:color w:val="auto"/>
              </w:rPr>
            </w:pPr>
          </w:p>
        </w:tc>
        <w:tc>
          <w:tcPr>
            <w:tcW w:w="1340" w:type="dxa"/>
            <w:vAlign w:val="bottom"/>
          </w:tcPr>
          <w:p>
            <w:pPr>
              <w:spacing w:after="0"/>
              <w:rPr>
                <w:sz w:val="11"/>
                <w:szCs w:val="11"/>
                <w:color w:val="auto"/>
              </w:rPr>
            </w:pPr>
          </w:p>
        </w:tc>
      </w:tr>
    </w:tbl>
    <w:p>
      <w:pPr>
        <w:spacing w:after="0" w:line="171"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99" w:lineRule="exact"/>
        <w:rPr>
          <w:sz w:val="24"/>
          <w:szCs w:val="24"/>
          <w:color w:val="auto"/>
        </w:rPr>
      </w:pPr>
    </w:p>
    <w:tbl>
      <w:tblPr>
        <w:tblLayout w:type="fixed"/>
        <w:tblInd w:w="520" w:type="dxa"/>
        <w:tblCellMar>
          <w:top w:w="0" w:type="dxa"/>
          <w:left w:w="0" w:type="dxa"/>
          <w:bottom w:w="0" w:type="dxa"/>
          <w:right w:w="0" w:type="dxa"/>
        </w:tblCellMar>
      </w:tblPr>
      <w:tr>
        <w:trPr>
          <w:trHeight w:val="192"/>
        </w:trPr>
        <w:tc>
          <w:tcPr>
            <w:tcW w:w="880" w:type="dxa"/>
            <w:vAlign w:val="bottom"/>
          </w:tcPr>
          <w:p>
            <w:pPr>
              <w:spacing w:after="0"/>
              <w:rPr>
                <w:sz w:val="16"/>
                <w:szCs w:val="16"/>
                <w:color w:val="auto"/>
              </w:rPr>
            </w:pPr>
          </w:p>
        </w:tc>
        <w:tc>
          <w:tcPr>
            <w:tcW w:w="3640" w:type="dxa"/>
            <w:vAlign w:val="bottom"/>
            <w:gridSpan w:val="2"/>
          </w:tcPr>
          <w:p>
            <w:pPr>
              <w:jc w:val="center"/>
              <w:ind w:right="2420"/>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Trading Symbol</w:t>
            </w:r>
          </w:p>
        </w:tc>
        <w:tc>
          <w:tcPr>
            <w:tcW w:w="1600" w:type="dxa"/>
            <w:vAlign w:val="bottom"/>
          </w:tcPr>
          <w:p>
            <w:pPr>
              <w:spacing w:after="0"/>
              <w:rPr>
                <w:sz w:val="16"/>
                <w:szCs w:val="16"/>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660" w:type="dxa"/>
            <w:vAlign w:val="bottom"/>
            <w:gridSpan w:val="2"/>
            <w:vMerge w:val="restart"/>
          </w:tcPr>
          <w:p>
            <w:pPr>
              <w:jc w:val="center"/>
              <w:ind w:right="1580"/>
              <w:spacing w:after="0"/>
              <w:rPr>
                <w:sz w:val="20"/>
                <w:szCs w:val="20"/>
                <w:color w:val="auto"/>
              </w:rPr>
            </w:pPr>
            <w:r>
              <w:rPr>
                <w:rFonts w:ascii="Times New Roman" w:cs="Times New Roman" w:eastAsia="Times New Roman" w:hAnsi="Times New Roman"/>
                <w:sz w:val="16"/>
                <w:szCs w:val="16"/>
                <w:b w:val="1"/>
                <w:bCs w:val="1"/>
                <w:color w:val="auto"/>
              </w:rPr>
              <w:t>QNST</w:t>
            </w:r>
          </w:p>
        </w:tc>
        <w:tc>
          <w:tcPr>
            <w:tcW w:w="3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520" w:type="dxa"/>
            <w:vAlign w:val="bottom"/>
            <w:gridSpan w:val="3"/>
          </w:tcPr>
          <w:p>
            <w:pPr>
              <w:jc w:val="center"/>
              <w:ind w:right="1540"/>
              <w:spacing w:after="0" w:line="168" w:lineRule="exact"/>
              <w:rPr>
                <w:sz w:val="20"/>
                <w:szCs w:val="20"/>
                <w:color w:val="auto"/>
              </w:rPr>
            </w:pPr>
            <w:r>
              <w:rPr>
                <w:rFonts w:ascii="Times New Roman" w:cs="Times New Roman" w:eastAsia="Times New Roman" w:hAnsi="Times New Roman"/>
                <w:sz w:val="16"/>
                <w:szCs w:val="16"/>
                <w:b w:val="1"/>
                <w:bCs w:val="1"/>
                <w:color w:val="auto"/>
              </w:rPr>
              <w:t>Common Stock, par value $0.001 per share</w:t>
            </w:r>
          </w:p>
        </w:tc>
        <w:tc>
          <w:tcPr>
            <w:tcW w:w="2660" w:type="dxa"/>
            <w:vAlign w:val="bottom"/>
            <w:gridSpan w:val="2"/>
            <w:vMerge w:val="continue"/>
          </w:tcPr>
          <w:p>
            <w:pPr>
              <w:spacing w:after="0"/>
              <w:rPr>
                <w:sz w:val="14"/>
                <w:szCs w:val="14"/>
                <w:color w:val="auto"/>
              </w:rPr>
            </w:pPr>
          </w:p>
        </w:tc>
        <w:tc>
          <w:tcPr>
            <w:tcW w:w="300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r>
        <w:trPr>
          <w:trHeight w:val="212"/>
        </w:trPr>
        <w:tc>
          <w:tcPr>
            <w:tcW w:w="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(Nasdaq Global Select Market)</w:t>
            </w:r>
          </w:p>
        </w:tc>
        <w:tc>
          <w:tcPr>
            <w:tcW w:w="0" w:type="dxa"/>
            <w:vAlign w:val="bottom"/>
          </w:tcPr>
          <w:p>
            <w:pPr>
              <w:spacing w:after="0"/>
              <w:rPr>
                <w:sz w:val="1"/>
                <w:szCs w:val="1"/>
                <w:color w:val="auto"/>
              </w:rPr>
            </w:pPr>
          </w:p>
        </w:tc>
      </w:tr>
    </w:tbl>
    <w:p>
      <w:pPr>
        <w:spacing w:after="0" w:line="204" w:lineRule="exact"/>
        <w:rPr>
          <w:sz w:val="24"/>
          <w:szCs w:val="24"/>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827405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1267" w:right="4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On February 5, 2026, QuinStreet, Inc. (the “Company”) issued a press release announcing the Company’s financial results for the second quarter ended December 31, 2025. A copy of the Company’s press release is attached hereto as Exhibit 99.1.</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furnished under Item 2.02 of this Current Report on Form 8-K, including the exhibit, shall not be deemed “filed” for purposes of Section 18 of the Securities Exchange Act of 1934, as amended (the “Exchange Act”), nor shall it be deemed incorporated by reference into the Company’s filings with the SEC under the Securities Act of 1933, as amended, or the Exchange Act, except as shall be expressly set forth by specific reference in such a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w:t>
      </w:r>
    </w:p>
    <w:p>
      <w:pPr>
        <w:spacing w:after="0" w:line="2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dated February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-7620</wp:posOffset>
            </wp:positionV>
            <wp:extent cx="17037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03705" cy="8890"/>
                    </a:xfrm>
                    <a:prstGeom prst="rect">
                      <a:avLst/>
                    </a:prstGeom>
                    <a:noFill/>
                  </pic:spPr>
                </pic:pic>
              </a:graphicData>
            </a:graphic>
          </wp:anchor>
        </w:drawing>
      </w:r>
    </w:p>
    <w:p>
      <w:pPr>
        <w:spacing w:after="0" w:line="7" w:lineRule="exact"/>
        <w:rPr>
          <w:sz w:val="20"/>
          <w:szCs w:val="20"/>
          <w:color w:val="auto"/>
        </w:rPr>
      </w:pPr>
    </w:p>
    <w:p>
      <w:pPr>
        <w:ind w:left="880" w:hanging="872"/>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Cover Page Interactive Data File, formatted in Inline XBRL and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08" w:right="4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754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Q</w:t>
            </w:r>
            <w:r>
              <w:rPr>
                <w:rFonts w:ascii="Times New Roman" w:cs="Times New Roman" w:eastAsia="Times New Roman" w:hAnsi="Times New Roman"/>
                <w:sz w:val="13"/>
                <w:szCs w:val="13"/>
                <w:b w:val="1"/>
                <w:bCs w:val="1"/>
                <w:color w:val="auto"/>
              </w:rPr>
              <w:t>UIN</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3"/>
                <w:szCs w:val="13"/>
                <w:b w:val="1"/>
                <w:bCs w:val="1"/>
                <w:color w:val="auto"/>
              </w:rPr>
              <w:t>TREET</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18"/>
                <w:szCs w:val="18"/>
                <w:b w:val="1"/>
                <w:bCs w:val="1"/>
                <w:color w:val="auto"/>
              </w:rPr>
              <w:t>.</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5, 2026</w:t>
            </w:r>
          </w:p>
        </w:tc>
        <w:tc>
          <w:tcPr>
            <w:tcW w:w="26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Gregory Wong</w:t>
            </w:r>
          </w:p>
        </w:tc>
      </w:tr>
      <w:tr>
        <w:trPr>
          <w:trHeight w:val="191"/>
        </w:trPr>
        <w:tc>
          <w:tcPr>
            <w:tcW w:w="37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488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Gregory Wong</w:t>
            </w:r>
          </w:p>
        </w:tc>
      </w:tr>
      <w:tr>
        <w:trPr>
          <w:trHeight w:val="234"/>
        </w:trPr>
        <w:tc>
          <w:tcPr>
            <w:tcW w:w="37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222"/>
        </w:trPr>
        <w:tc>
          <w:tcPr>
            <w:tcW w:w="370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QuinStreet Reports Results for Second Quarter Fiscal 2026</w:t>
      </w:r>
    </w:p>
    <w:p>
      <w:pPr>
        <w:spacing w:after="0" w:line="203" w:lineRule="exact"/>
        <w:rPr>
          <w:sz w:val="20"/>
          <w:szCs w:val="20"/>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Record quarterly revenue of $288 million</w:t>
      </w:r>
    </w:p>
    <w:p>
      <w:pPr>
        <w:spacing w:after="0" w:line="3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Auto Insurance revenue strong and broadening</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Continue to expect further margin expansion in 2H FY26</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Acquired HomeBuddy in January, significantly expanding Home Services footprint</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Financial position, balance sheet and cash flow remain strong</w:t>
      </w:r>
    </w:p>
    <w:p>
      <w:pPr>
        <w:spacing w:after="0" w:line="35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FOSTER CITY, CA – February 5, 2026 </w:t>
      </w:r>
      <w:r>
        <w:rPr>
          <w:rFonts w:ascii="Times New Roman" w:cs="Times New Roman" w:eastAsia="Times New Roman" w:hAnsi="Times New Roman"/>
          <w:sz w:val="18"/>
          <w:szCs w:val="18"/>
          <w:color w:val="auto"/>
        </w:rPr>
        <w:t>– QuinStreet, Inc. (Nasdaq: QNST), a leader in performance marketplaces and technologies for the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and home services industries, today announced financial results for the fiscal second quarter ended December 31, 2025.</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fiscal second quarter, the Company reported revenue of $287.8 million, up 2% year-over-year.</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GAAP net income for the fiscal second quarter was $50.2 million, or $0.87 per diluted share. Adjusted net income for the fiscal second quarter was $13.9 million, or $0.24 per diluted share.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for the fiscal second quarter was $21.0 million, up 8% year-over-year.</w:t>
      </w:r>
    </w:p>
    <w:p>
      <w:pPr>
        <w:spacing w:after="0" w:line="22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For the fiscal second quarter, the Company generated $21.6 million in operating cash flow and closed the quarter with $107.0 million in cash and cash equivalents and no bank debt.</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“Fiscal Q2 was another productive and successful quarter,” commented Doug Valenti, CEO of QuinStreet. “We exceeded our outlook for both revenue and adjusted EBITDA, and we continued to make good progress on needle-moving initiatives across the business. Our set-up for continued, long-term revenue growth and margin performance has never been better.”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completed the acquisition of HomeBuddy in early January, adding important new product and media footprints for growth at scale to our massive Home Services market opportunity.”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“Auto Insurance demand remained strong again in fiscal Q2, with sequential performance besting historical seasonality trends.”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progress applying AI across the business and thriving in a more AI-driven ecosystem has been strong and impressive. We continue to expect that AI will lead to increased opportunities in our already big and fast-growing markets. We continue to expect to disproportionately benefit from AI due to our structured proprietary integrations and data, and to our long history of successfully applying AI as a competitive advantage.”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strong revenue growth and margin expansion to continue in coming quarters and years, with our near term, next milestone goal still to reach 10% quarterly adjusted EBITDA margin in this fiscal year, even excluding the expected accretive impact of HomeBuddy. We also continue to expect full fiscal year revenue and adjusted EBITDA, excluding HomeBuddy, to grow at least 10% and at least 20%, respectively, as indicated in our previous outlook. Said another way, HomeBuddy is purely additive to our previous outlook.”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“Turning to our new outlook, which of course includes HomeBuddy, we expect total revenue in fiscal Q3, to be between $330 and $340 million, and total adjusted EBITDA to be between $26.5 and $30.5 million. We expect total revenue in full fiscal year 2026, which ends in June, to be between $1.25 and $1.3 billion, and total full fiscal year adjusted EBITDA to be between $110 and $115 million,” concluded Valenti.</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Today at 2:00 p.m. PT</w:t>
      </w:r>
    </w:p>
    <w:p>
      <w:pPr>
        <w:spacing w:after="0" w:line="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The Company will host a conference call and corresponding live webcast at 2:00 p.m. PT. To access the conference call dial +1 800-717-1738 (domestic) or +1 646-307-1865 (international). A replay of the conference call will be available beginning approximately two hours after the completion of the call by dialing +1 844-512-2921 (domestic) or +1 412-317-6671 (international) and using passcode #1164108. The webcast of the conference call will be available live and via replay on the investor relations section of the Company's website at </w:t>
      </w:r>
      <w:r>
        <w:rPr>
          <w:rFonts w:ascii="Times New Roman" w:cs="Times New Roman" w:eastAsia="Times New Roman" w:hAnsi="Times New Roman"/>
          <w:sz w:val="18"/>
          <w:szCs w:val="18"/>
          <w:u w:val="single" w:color="auto"/>
          <w:color w:val="0000FF"/>
        </w:rPr>
        <w:t>http://investor.quinstreet.com</w:t>
      </w:r>
      <w:r>
        <w:rPr>
          <w:rFonts w:ascii="Times New Roman" w:cs="Times New Roman" w:eastAsia="Times New Roman" w:hAnsi="Times New Roman"/>
          <w:sz w:val="18"/>
          <w:szCs w:val="18"/>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753110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QuinStreet</w:t>
      </w:r>
    </w:p>
    <w:p>
      <w:pPr>
        <w:spacing w:after="0" w:line="31" w:lineRule="exact"/>
        <w:rPr>
          <w:sz w:val="20"/>
          <w:szCs w:val="20"/>
          <w:color w:val="auto"/>
        </w:rPr>
      </w:pPr>
    </w:p>
    <w:p>
      <w:pPr>
        <w:ind w:right="640"/>
        <w:spacing w:after="0" w:line="255" w:lineRule="auto"/>
        <w:rPr>
          <w:sz w:val="20"/>
          <w:szCs w:val="20"/>
          <w:color w:val="auto"/>
        </w:rPr>
      </w:pPr>
      <w:r>
        <w:rPr>
          <w:rFonts w:ascii="Times New Roman" w:cs="Times New Roman" w:eastAsia="Times New Roman" w:hAnsi="Times New Roman"/>
          <w:sz w:val="18"/>
          <w:szCs w:val="18"/>
          <w:color w:val="auto"/>
        </w:rPr>
        <w:t xml:space="preserve">QuinStreet, Inc. (Nasdaq: </w:t>
      </w:r>
      <w:r>
        <w:rPr>
          <w:rFonts w:ascii="Times New Roman" w:cs="Times New Roman" w:eastAsia="Times New Roman" w:hAnsi="Times New Roman"/>
          <w:sz w:val="18"/>
          <w:szCs w:val="18"/>
          <w:u w:val="single" w:color="auto"/>
          <w:color w:val="auto"/>
        </w:rPr>
        <w:t>QNST</w:t>
      </w:r>
      <w:r>
        <w:rPr>
          <w:rFonts w:ascii="Times New Roman" w:cs="Times New Roman" w:eastAsia="Times New Roman" w:hAnsi="Times New Roman"/>
          <w:sz w:val="18"/>
          <w:szCs w:val="18"/>
          <w:color w:val="auto"/>
        </w:rPr>
        <w:t>) is a leader in performance marketplaces and technologies for the financial services and home services industries. QuinStreet is a pioneer in delivering online marketplace solutions to match searchers with brands in digital media, and is committed to providing consumers with the information and tools they need to research, find and select the products and brands that meet their needs.</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Financial Measures and Definitions of Client Verticals</w:t>
      </w:r>
    </w:p>
    <w:p>
      <w:pPr>
        <w:spacing w:after="0" w:line="31"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18"/>
          <w:szCs w:val="18"/>
          <w:color w:val="auto"/>
        </w:rPr>
        <w:t>This release and the accompanying tables include a discussion of adjusted EBITDA, adjusted net income, adjusted diluted net income per share and free cash flow and normalized free cash flow, all of which are non-GAAP financial measures that are provided as a complement to results provided in accordance with accounting principles generally accepted in the United States of America ("GAAP"). The term "adjusted EBITDA" refers to a financial measure that we define as net income (loss) less provision for income taxes, depreciation expense, amortization expense, stock-based compensation expense, interest and other expense, net, acquisition costs, contingent consideration adjustment, litigation settlement expense, tax settlement expense, and restructuring costs. The term "adjusted net income" refers to a financial measure that we define as net income (loss) adjusted for amortization expense, stock-based compensation expense, acquisition costs, contingent consideration adjustment, litigation settlement expense, tax settlement expense, restructuring costs, and impairment of investment, net of estimated taxes. The term "adjusted diluted net income (loss) per share" refers to a financial measure that we define as adjusted net income divided by weighted average diluted shares outstanding. The term “free cash flow” refers to a financial measure that we define as net cash provided by operating activities, less capital expenditures and internal software development costs. The term “normalized free cash flow” refers to free cash flow less changes in operating assets and liabilities. These non-GAAP measures should be considered in addition to results prepared in accordance with GAAP, but should not be considered a substitute for, or superior to, GAAP results. In addition, our definition of adjusted EBITDA, adjusted net income, adjusted diluted net income per share and free cash flow and normalized free cash flow may not be comparable to the definitions as reported by other companies.</w:t>
      </w:r>
    </w:p>
    <w:p>
      <w:pPr>
        <w:spacing w:after="0" w:line="19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believe adjusted EBITDA, adjusted net income and adjusted diluted net income per share are relevant and useful information because they provide us and investors with additional measurements to analyze the Company's operating performance.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is useful to us and investors because (i) we seek to manage our business to a level of adjusted EBITDA as a percentage of net revenue,</w:t>
      </w:r>
    </w:p>
    <w:p>
      <w:pPr>
        <w:spacing w:after="0" w:line="27" w:lineRule="exact"/>
        <w:rPr>
          <w:sz w:val="20"/>
          <w:szCs w:val="20"/>
          <w:color w:val="auto"/>
        </w:rPr>
      </w:pPr>
    </w:p>
    <w:p>
      <w:pPr>
        <w:ind w:firstLine="8"/>
        <w:spacing w:after="0" w:line="265" w:lineRule="auto"/>
        <w:tabs>
          <w:tab w:leader="none" w:pos="26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used internally by us for planning purposes, including preparation of internal budgets; to allocate resources; to evaluate the effectiveness of operational strategies and capital expenditures as well as the capacity to service debt, (iii) it is a key basis upon which we assess our operating performance,</w:t>
      </w:r>
    </w:p>
    <w:p>
      <w:pPr>
        <w:ind w:right="180" w:firstLine="8"/>
        <w:spacing w:after="0" w:line="253" w:lineRule="auto"/>
        <w:tabs>
          <w:tab w:leader="none" w:pos="30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one of the primary metrics investors use in evaluating Internet marketing companies, (v) it is a factor in determining compensation, (vi) it is an element of certain financial covenants under our historical borrowing arrangements, and (vii) it is a factor that assists investors in the analysis of ongoing operating trends. In addition, we believe adjusted EBITDA and similar measures are widely used by investors, securities analysts, ratings agencies and other interested parties in our industry as a measure of financial performance, debt-service capabilities and as a metric for analyzing company valuations.</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use adjusted EBITDA as a key performance measure because we believe it facilitates operating performance comparisons from period to period by excluding potential differences caused by variations in capital structures (affecting interest expense), tax positions (such as the impact of changes in effective tax rates or fluctuations in permanent differences or discrete quarterly items), non-recurring charges, certain other items that we do not believe are indicative of core operating activities (such as litigation settlement expense, tax settlement expense, acquisition costs, contingent consideration adjustment, restructuring costs and other income and expense) and the non-cash impact of depreciation expense, amortization expense and stock-based compensation expense.</w:t>
      </w:r>
    </w:p>
    <w:p>
      <w:pPr>
        <w:spacing w:after="0" w:line="200" w:lineRule="exact"/>
        <w:rPr>
          <w:sz w:val="20"/>
          <w:szCs w:val="20"/>
          <w:color w:val="auto"/>
        </w:rPr>
      </w:pPr>
    </w:p>
    <w:p>
      <w:pPr>
        <w:spacing w:after="0" w:line="20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With respect to our adjusted EBITDA guidance, the Company is not able to provide a quantitative reconciliation to the most directly comparable GAAP financial measure without unreasonable efforts due to the high variability, complexity and low visibility with respect to certain items such as taxes, and income and expense from changes in fair value of contingent consideration from acquisitions. We expect the variability of these items to have a potentially unpredictable and potentially significant impact on future GAAP financial results, and, as such, we also believe that any reconciliations provided would imply a degree of precision that would be confusing or misleading to investors.</w:t>
      </w:r>
    </w:p>
    <w:p>
      <w:pPr>
        <w:spacing w:after="0" w:line="18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Adjusted net income and adjusted diluted net income per share are useful to us and investors because they present an additional measurement of our financial performance, taking into account depreciation, which we believe is an ongoing cost of doing business, but excluding the impact of certain non-cash expenses (stock-based compensation, amortization of intangible assets, and contingent consideration adjustment), non-recurring charges and certain other items that we do not believe are indicative of core operating activities. We believe that analysts and investors use adjusted net income and adjusted diluted net income per share as supplemental measures to evaluate the overall operating performance of companies in our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749935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5" w:name="page6"/>
    <w:bookmarkEnd w:id="5"/>
    <w:p>
      <w:pPr>
        <w:ind w:right="20"/>
        <w:spacing w:after="0" w:line="256" w:lineRule="auto"/>
        <w:rPr>
          <w:sz w:val="20"/>
          <w:szCs w:val="20"/>
          <w:color w:val="auto"/>
        </w:rPr>
      </w:pPr>
      <w:r>
        <w:rPr>
          <w:rFonts w:ascii="Times New Roman" w:cs="Times New Roman" w:eastAsia="Times New Roman" w:hAnsi="Times New Roman"/>
          <w:sz w:val="18"/>
          <w:szCs w:val="18"/>
          <w:color w:val="auto"/>
        </w:rPr>
        <w:t>Free cash flow is useful to investors and us because it represents the cash that our business generates from operations, before taking into account cash movements that are non-operational, and is a metric commonly used in our industry to understand the underlying cash generating capacity of a company’s financial model. Normalized free cash flow is useful as it removes the fluctuations in operating assets and liabilities that occur in any given quarter due to the timing of payments and cash receipts and therefore helps investors understand the underlying cash flow of the business as a quarterly metric and the cash flow generation potential of the business model. We believe that analysts and investors use free cash flow multiples as a metric for analyzing company valuations in our industry.</w:t>
      </w:r>
    </w:p>
    <w:p>
      <w:pPr>
        <w:spacing w:after="0" w:line="187"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We intend to provide these non-GAAP financial measures as part of our future earnings discussions and, therefore, the inclusion of these non-GAAP financial measures will provide consistency in our financial reporting. A reconciliation of these non-GAAP measures to GAAP is provided in the accompanying tables.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Notice Regarding Forward Looking Statements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and its attachments contain forward-looking statements within the meaning of Section 21E of the Securities Exchange Act of 1934 that involve risks and uncertainties. Words such as "estimate", "will”, "believe", “expect”, "intend", “outlook”, "potential", “promises” and similar expressions are intended to identify forward-looking statements. These forward-looking statements include the statements in quotations from management in this press release, as well as any statements regarding the Company's anticipated financial results, growth and strategic and operational plans and results of analyses on impairment charges. The Company's actual results may differ materially from those anticipated in these forward-looking statements. Factors that may contribute to such differences include, but are not limited to: the Company’s ability to maintain and increase client marketing spend; the Company's ability, whether within or outside the Company’s control, to maintain and increase the number of visitors to its websites and to convert those visitors and those to its third-party publishers' websites into client prospects in a cost-effective manner; the Company's exposure to data privacy and security risks; the impact of changes in industry standards and government regulation including, but not limited to investigation enforcement activities or regulatory activity by the Federal Trade Commission, the Federal Communications Commission, the Consumer Finance Protection Bureau and other state and federal regulatory agencies; the impact of changes in our business, our industry, and the current economic and regulatory climate on the Company’s quarterly and annual results of operations; the Company's ability to compete effectively against others in the online marketing and media industry both for client budget and access to third-party media; the Company’s ability to protect our intellectual property rights; and the impact from risks relating to counterparties on the Company's business. More information about potential factors that could affect the Company's business and financial results are contained in the Company's annual report on Form 10-K and quarterly reports on Form 10-Q as filed with the Securities and Exchange Commission ("SEC"). Additional information will also be set forth in the Company's annual report on Form 10-Q for the fiscal year ended December 31, 2025, which will be filed with the SEC. The Company does not intend and undertakes no duty to release publicly any updates or revisions to any forward-looking statements contained herein.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Amparo</w:t>
      </w:r>
    </w:p>
    <w:p>
      <w:pPr>
        <w:spacing w:after="0" w:line="9" w:lineRule="exact"/>
        <w:rPr>
          <w:sz w:val="20"/>
          <w:szCs w:val="20"/>
          <w:color w:val="auto"/>
        </w:rPr>
      </w:pPr>
    </w:p>
    <w:p>
      <w:pPr>
        <w:ind w:right="9400" w:firstLine="8"/>
        <w:spacing w:after="0" w:line="260" w:lineRule="auto"/>
        <w:tabs>
          <w:tab w:leader="none" w:pos="4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223-1682 </w:t>
      </w:r>
      <w:r>
        <w:rPr>
          <w:rFonts w:ascii="Times New Roman" w:cs="Times New Roman" w:eastAsia="Times New Roman" w:hAnsi="Times New Roman"/>
          <w:sz w:val="18"/>
          <w:szCs w:val="18"/>
          <w:u w:val="single" w:color="auto"/>
          <w:color w:val="auto"/>
        </w:rPr>
        <w:t>ramparo@quinstreet.com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47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QUINSTREET, INC.</w:t>
            </w: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60" w:type="dxa"/>
            <w:vAlign w:val="bottom"/>
          </w:tcPr>
          <w:p>
            <w:pPr>
              <w:spacing w:after="0"/>
              <w:rPr>
                <w:sz w:val="18"/>
                <w:szCs w:val="18"/>
                <w:color w:val="auto"/>
              </w:rPr>
            </w:pPr>
          </w:p>
        </w:tc>
        <w:tc>
          <w:tcPr>
            <w:tcW w:w="47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60" w:type="dxa"/>
            <w:vAlign w:val="bottom"/>
          </w:tcPr>
          <w:p>
            <w:pPr>
              <w:spacing w:after="0"/>
              <w:rPr>
                <w:sz w:val="18"/>
                <w:szCs w:val="18"/>
                <w:color w:val="auto"/>
              </w:rPr>
            </w:pPr>
          </w:p>
        </w:tc>
        <w:tc>
          <w:tcPr>
            <w:tcW w:w="47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60" w:type="dxa"/>
            <w:vAlign w:val="bottom"/>
          </w:tcPr>
          <w:p>
            <w:pPr>
              <w:spacing w:after="0"/>
              <w:rPr>
                <w:sz w:val="18"/>
                <w:szCs w:val="18"/>
                <w:color w:val="auto"/>
              </w:rPr>
            </w:pPr>
          </w:p>
        </w:tc>
        <w:tc>
          <w:tcPr>
            <w:tcW w:w="47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8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8"/>
        </w:trPr>
        <w:tc>
          <w:tcPr>
            <w:tcW w:w="3260" w:type="dxa"/>
            <w:vAlign w:val="bottom"/>
          </w:tcPr>
          <w:p>
            <w:pPr>
              <w:spacing w:after="0"/>
              <w:rPr>
                <w:sz w:val="20"/>
                <w:szCs w:val="20"/>
                <w:color w:val="auto"/>
              </w:rPr>
            </w:pPr>
          </w:p>
        </w:tc>
        <w:tc>
          <w:tcPr>
            <w:tcW w:w="47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8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60" w:type="dxa"/>
            <w:vAlign w:val="bottom"/>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7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700" w:type="dxa"/>
            <w:vAlign w:val="bottom"/>
            <w:gridSpan w:val="2"/>
            <w:shd w:val="clear" w:color="auto" w:fill="CFF0FC"/>
          </w:tcPr>
          <w:p>
            <w:pPr>
              <w:jc w:val="right"/>
              <w:ind w:right="14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106,962</w:t>
            </w:r>
          </w:p>
        </w:tc>
        <w:tc>
          <w:tcPr>
            <w:tcW w:w="36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101,078</w:t>
            </w:r>
          </w:p>
        </w:tc>
        <w:tc>
          <w:tcPr>
            <w:tcW w:w="100" w:type="dxa"/>
            <w:vAlign w:val="bottom"/>
            <w:shd w:val="clear" w:color="auto" w:fill="CFF0FC"/>
          </w:tcPr>
          <w:p>
            <w:pPr>
              <w:spacing w:after="0"/>
              <w:rPr>
                <w:sz w:val="18"/>
                <w:szCs w:val="18"/>
                <w:color w:val="auto"/>
              </w:rPr>
            </w:pPr>
          </w:p>
        </w:tc>
      </w:tr>
      <w:tr>
        <w:trPr>
          <w:trHeight w:val="216"/>
        </w:trPr>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152,388</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135,804</w:t>
            </w:r>
          </w:p>
        </w:tc>
        <w:tc>
          <w:tcPr>
            <w:tcW w:w="100" w:type="dxa"/>
            <w:vAlign w:val="bottom"/>
          </w:tcPr>
          <w:p>
            <w:pPr>
              <w:spacing w:after="0"/>
              <w:rPr>
                <w:sz w:val="18"/>
                <w:szCs w:val="18"/>
                <w:color w:val="auto"/>
              </w:rPr>
            </w:pPr>
          </w:p>
        </w:tc>
      </w:tr>
      <w:tr>
        <w:trPr>
          <w:trHeight w:val="216"/>
        </w:trPr>
        <w:tc>
          <w:tcPr>
            <w:tcW w:w="32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06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8,626</w:t>
            </w:r>
          </w:p>
        </w:tc>
        <w:tc>
          <w:tcPr>
            <w:tcW w:w="36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current assets</w:t>
            </w:r>
          </w:p>
        </w:tc>
        <w:tc>
          <w:tcPr>
            <w:tcW w:w="3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267,976</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245,526</w:t>
            </w:r>
          </w:p>
        </w:tc>
        <w:tc>
          <w:tcPr>
            <w:tcW w:w="100" w:type="dxa"/>
            <w:vAlign w:val="bottom"/>
          </w:tcPr>
          <w:p>
            <w:pPr>
              <w:spacing w:after="0"/>
              <w:rPr>
                <w:sz w:val="18"/>
                <w:szCs w:val="18"/>
                <w:color w:val="auto"/>
              </w:rPr>
            </w:pP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16,590</w:t>
            </w:r>
          </w:p>
        </w:tc>
        <w:tc>
          <w:tcPr>
            <w:tcW w:w="3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16,818</w:t>
            </w:r>
          </w:p>
        </w:tc>
        <w:tc>
          <w:tcPr>
            <w:tcW w:w="100" w:type="dxa"/>
            <w:vAlign w:val="bottom"/>
            <w:shd w:val="clear" w:color="auto" w:fill="CFF0FC"/>
          </w:tcPr>
          <w:p>
            <w:pPr>
              <w:spacing w:after="0"/>
              <w:rPr>
                <w:sz w:val="18"/>
                <w:szCs w:val="18"/>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8,486</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9,620</w:t>
            </w:r>
          </w:p>
        </w:tc>
        <w:tc>
          <w:tcPr>
            <w:tcW w:w="100" w:type="dxa"/>
            <w:vAlign w:val="bottom"/>
          </w:tcPr>
          <w:p>
            <w:pPr>
              <w:spacing w:after="0"/>
              <w:rPr>
                <w:sz w:val="18"/>
                <w:szCs w:val="18"/>
                <w:color w:val="auto"/>
              </w:rPr>
            </w:pP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30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125,056</w:t>
            </w:r>
          </w:p>
        </w:tc>
        <w:tc>
          <w:tcPr>
            <w:tcW w:w="3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125,056</w:t>
            </w:r>
          </w:p>
        </w:tc>
        <w:tc>
          <w:tcPr>
            <w:tcW w:w="100" w:type="dxa"/>
            <w:vAlign w:val="bottom"/>
            <w:shd w:val="clear" w:color="auto" w:fill="CFF0FC"/>
          </w:tcPr>
          <w:p>
            <w:pPr>
              <w:spacing w:after="0"/>
              <w:rPr>
                <w:sz w:val="18"/>
                <w:szCs w:val="18"/>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24,651</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28,475</w:t>
            </w:r>
          </w:p>
        </w:tc>
        <w:tc>
          <w:tcPr>
            <w:tcW w:w="100" w:type="dxa"/>
            <w:vAlign w:val="bottom"/>
          </w:tcPr>
          <w:p>
            <w:pPr>
              <w:spacing w:after="0"/>
              <w:rPr>
                <w:sz w:val="18"/>
                <w:szCs w:val="18"/>
                <w:color w:val="auto"/>
              </w:rPr>
            </w:pP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 noncurrent</w:t>
            </w:r>
          </w:p>
        </w:tc>
        <w:tc>
          <w:tcPr>
            <w:tcW w:w="30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45,164</w:t>
            </w:r>
          </w:p>
        </w:tc>
        <w:tc>
          <w:tcPr>
            <w:tcW w:w="3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noncurrent</w:t>
            </w:r>
          </w:p>
        </w:tc>
        <w:tc>
          <w:tcPr>
            <w:tcW w:w="3060" w:type="dxa"/>
            <w:vAlign w:val="bottom"/>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3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5,612</w:t>
            </w:r>
          </w:p>
        </w:tc>
        <w:tc>
          <w:tcPr>
            <w:tcW w:w="100" w:type="dxa"/>
            <w:vAlign w:val="bottom"/>
          </w:tcPr>
          <w:p>
            <w:pPr>
              <w:spacing w:after="0"/>
              <w:rPr>
                <w:sz w:val="18"/>
                <w:szCs w:val="18"/>
                <w:color w:val="auto"/>
              </w:rPr>
            </w:pPr>
          </w:p>
        </w:tc>
      </w:tr>
      <w:tr>
        <w:trPr>
          <w:trHeight w:val="250"/>
        </w:trPr>
        <w:tc>
          <w:tcPr>
            <w:tcW w:w="3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4700" w:type="dxa"/>
            <w:vAlign w:val="bottom"/>
            <w:gridSpan w:val="2"/>
            <w:shd w:val="clear" w:color="auto" w:fill="CFF0FC"/>
          </w:tcPr>
          <w:p>
            <w:pPr>
              <w:jc w:val="right"/>
              <w:ind w:right="14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493,033</w:t>
            </w:r>
          </w:p>
        </w:tc>
        <w:tc>
          <w:tcPr>
            <w:tcW w:w="36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431,107</w:t>
            </w:r>
          </w:p>
        </w:tc>
        <w:tc>
          <w:tcPr>
            <w:tcW w:w="100" w:type="dxa"/>
            <w:vAlign w:val="bottom"/>
            <w:shd w:val="clear" w:color="auto" w:fill="CFF0FC"/>
          </w:tcPr>
          <w:p>
            <w:pPr>
              <w:spacing w:after="0"/>
              <w:rPr>
                <w:sz w:val="21"/>
                <w:szCs w:val="21"/>
                <w:color w:val="auto"/>
              </w:rPr>
            </w:pPr>
          </w:p>
        </w:tc>
      </w:tr>
      <w:tr>
        <w:trPr>
          <w:trHeight w:val="196"/>
        </w:trPr>
        <w:tc>
          <w:tcPr>
            <w:tcW w:w="32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60" w:type="dxa"/>
            <w:vAlign w:val="bottom"/>
            <w:tcBorders>
              <w:top w:val="single" w:sz="8" w:color="CFF0FC"/>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60" w:type="dxa"/>
            <w:vAlign w:val="bottom"/>
            <w:tcBorders>
              <w:top w:val="single" w:sz="8" w:color="CFF0FC"/>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0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Accounts payable</w:t>
            </w:r>
          </w:p>
        </w:tc>
        <w:tc>
          <w:tcPr>
            <w:tcW w:w="4700" w:type="dxa"/>
            <w:vAlign w:val="bottom"/>
            <w:gridSpan w:val="2"/>
          </w:tcPr>
          <w:p>
            <w:pPr>
              <w:jc w:val="right"/>
              <w:ind w:right="14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70,833</w:t>
            </w:r>
          </w:p>
        </w:tc>
        <w:tc>
          <w:tcPr>
            <w:tcW w:w="360" w:type="dxa"/>
            <w:vAlign w:val="bottom"/>
          </w:tcPr>
          <w:p>
            <w:pPr>
              <w:spacing w:after="0"/>
              <w:rPr>
                <w:sz w:val="18"/>
                <w:szCs w:val="18"/>
                <w:color w:val="auto"/>
              </w:rPr>
            </w:pP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62,247</w:t>
            </w:r>
          </w:p>
        </w:tc>
        <w:tc>
          <w:tcPr>
            <w:tcW w:w="100" w:type="dxa"/>
            <w:vAlign w:val="bottom"/>
          </w:tcPr>
          <w:p>
            <w:pPr>
              <w:spacing w:after="0"/>
              <w:rPr>
                <w:sz w:val="18"/>
                <w:szCs w:val="18"/>
                <w:color w:val="auto"/>
              </w:rPr>
            </w:pPr>
          </w:p>
        </w:tc>
      </w:tr>
      <w:tr>
        <w:trPr>
          <w:trHeight w:val="216"/>
        </w:trPr>
        <w:tc>
          <w:tcPr>
            <w:tcW w:w="3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Accrued liabilities</w:t>
            </w:r>
          </w:p>
        </w:tc>
        <w:tc>
          <w:tcPr>
            <w:tcW w:w="30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97,279</w:t>
            </w:r>
          </w:p>
        </w:tc>
        <w:tc>
          <w:tcPr>
            <w:tcW w:w="3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87,225</w:t>
            </w:r>
          </w:p>
        </w:tc>
        <w:tc>
          <w:tcPr>
            <w:tcW w:w="100" w:type="dxa"/>
            <w:vAlign w:val="bottom"/>
            <w:shd w:val="clear" w:color="auto" w:fill="CFF0FC"/>
          </w:tcPr>
          <w:p>
            <w:pPr>
              <w:spacing w:after="0"/>
              <w:rPr>
                <w:sz w:val="18"/>
                <w:szCs w:val="18"/>
                <w:color w:val="auto"/>
              </w:rPr>
            </w:pPr>
          </w:p>
        </w:tc>
      </w:tr>
      <w:tr>
        <w:trPr>
          <w:trHeight w:val="216"/>
        </w:trPr>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liabilities</w:t>
            </w:r>
          </w:p>
        </w:tc>
        <w:tc>
          <w:tcPr>
            <w:tcW w:w="3060" w:type="dxa"/>
            <w:vAlign w:val="bottom"/>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9,282</w:t>
            </w:r>
          </w:p>
        </w:tc>
        <w:tc>
          <w:tcPr>
            <w:tcW w:w="3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13,572</w:t>
            </w:r>
          </w:p>
        </w:tc>
        <w:tc>
          <w:tcPr>
            <w:tcW w:w="100" w:type="dxa"/>
            <w:vAlign w:val="bottom"/>
          </w:tcPr>
          <w:p>
            <w:pPr>
              <w:spacing w:after="0"/>
              <w:rPr>
                <w:sz w:val="18"/>
                <w:szCs w:val="18"/>
                <w:color w:val="auto"/>
              </w:rPr>
            </w:pPr>
          </w:p>
        </w:tc>
      </w:tr>
      <w:tr>
        <w:trPr>
          <w:trHeight w:val="210"/>
        </w:trPr>
        <w:tc>
          <w:tcPr>
            <w:tcW w:w="3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177,394</w:t>
            </w:r>
          </w:p>
        </w:tc>
        <w:tc>
          <w:tcPr>
            <w:tcW w:w="3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163,044</w:t>
            </w:r>
          </w:p>
        </w:tc>
        <w:tc>
          <w:tcPr>
            <w:tcW w:w="100" w:type="dxa"/>
            <w:vAlign w:val="bottom"/>
            <w:shd w:val="clear" w:color="auto" w:fill="CFF0FC"/>
          </w:tcPr>
          <w:p>
            <w:pPr>
              <w:spacing w:after="0"/>
              <w:rPr>
                <w:sz w:val="18"/>
                <w:szCs w:val="18"/>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6,377</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7,382</w:t>
            </w:r>
          </w:p>
        </w:tc>
        <w:tc>
          <w:tcPr>
            <w:tcW w:w="100" w:type="dxa"/>
            <w:vAlign w:val="bottom"/>
          </w:tcPr>
          <w:p>
            <w:pPr>
              <w:spacing w:after="0"/>
              <w:rPr>
                <w:sz w:val="18"/>
                <w:szCs w:val="18"/>
                <w:color w:val="auto"/>
              </w:rPr>
            </w:pPr>
          </w:p>
        </w:tc>
      </w:tr>
      <w:tr>
        <w:trPr>
          <w:trHeight w:val="216"/>
        </w:trPr>
        <w:tc>
          <w:tcPr>
            <w:tcW w:w="3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306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14,822</w:t>
            </w:r>
          </w:p>
        </w:tc>
        <w:tc>
          <w:tcPr>
            <w:tcW w:w="36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16,637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liabilities</w:t>
            </w:r>
          </w:p>
        </w:tc>
        <w:tc>
          <w:tcPr>
            <w:tcW w:w="3060" w:type="dxa"/>
            <w:vAlign w:val="bottom"/>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198,593</w:t>
            </w:r>
          </w:p>
        </w:tc>
        <w:tc>
          <w:tcPr>
            <w:tcW w:w="3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187,063</w:t>
            </w:r>
          </w:p>
        </w:tc>
        <w:tc>
          <w:tcPr>
            <w:tcW w:w="100" w:type="dxa"/>
            <w:vAlign w:val="bottom"/>
          </w:tcPr>
          <w:p>
            <w:pPr>
              <w:spacing w:after="0"/>
              <w:rPr>
                <w:sz w:val="18"/>
                <w:szCs w:val="18"/>
                <w:color w:val="auto"/>
              </w:rPr>
            </w:pPr>
          </w:p>
        </w:tc>
      </w:tr>
      <w:tr>
        <w:trPr>
          <w:trHeight w:val="210"/>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0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Common stock</w:t>
            </w:r>
          </w:p>
        </w:tc>
        <w:tc>
          <w:tcPr>
            <w:tcW w:w="3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8"/>
                <w:szCs w:val="18"/>
                <w:color w:val="auto"/>
              </w:rPr>
            </w:pPr>
          </w:p>
        </w:tc>
      </w:tr>
      <w:tr>
        <w:trPr>
          <w:trHeight w:val="216"/>
        </w:trPr>
        <w:tc>
          <w:tcPr>
            <w:tcW w:w="3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365,592</w:t>
            </w:r>
          </w:p>
        </w:tc>
        <w:tc>
          <w:tcPr>
            <w:tcW w:w="3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369,958</w:t>
            </w:r>
          </w:p>
        </w:tc>
        <w:tc>
          <w:tcPr>
            <w:tcW w:w="100" w:type="dxa"/>
            <w:vAlign w:val="bottom"/>
            <w:shd w:val="clear" w:color="auto" w:fill="CFF0FC"/>
          </w:tcPr>
          <w:p>
            <w:pPr>
              <w:spacing w:after="0"/>
              <w:rPr>
                <w:sz w:val="18"/>
                <w:szCs w:val="18"/>
                <w:color w:val="auto"/>
              </w:rPr>
            </w:pPr>
          </w:p>
        </w:tc>
      </w:tr>
      <w:tr>
        <w:trPr>
          <w:trHeight w:val="216"/>
        </w:trPr>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(268)</w:t>
            </w:r>
          </w:p>
        </w:tc>
        <w:tc>
          <w:tcPr>
            <w:tcW w:w="440" w:type="dxa"/>
            <w:vAlign w:val="bottom"/>
          </w:tcPr>
          <w:p>
            <w:pPr>
              <w:spacing w:after="0"/>
              <w:rPr>
                <w:sz w:val="18"/>
                <w:szCs w:val="18"/>
                <w:color w:val="auto"/>
              </w:rPr>
            </w:pP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(268)</w:t>
            </w:r>
          </w:p>
        </w:tc>
      </w:tr>
      <w:tr>
        <w:trPr>
          <w:trHeight w:val="216"/>
        </w:trPr>
        <w:tc>
          <w:tcPr>
            <w:tcW w:w="3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Accumulated deficit</w:t>
            </w:r>
          </w:p>
        </w:tc>
        <w:tc>
          <w:tcPr>
            <w:tcW w:w="30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(70,942)</w:t>
            </w:r>
          </w:p>
        </w:tc>
        <w:tc>
          <w:tcPr>
            <w:tcW w:w="44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(125,704)</w:t>
            </w:r>
          </w:p>
        </w:tc>
      </w:tr>
      <w:tr>
        <w:trPr>
          <w:trHeight w:val="209"/>
        </w:trPr>
        <w:tc>
          <w:tcPr>
            <w:tcW w:w="326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60" w:type="dxa"/>
            <w:vAlign w:val="bottom"/>
            <w:tcBorders>
              <w:top w:val="single" w:sz="8" w:color="CFF0FC"/>
            </w:tcBorders>
          </w:tcPr>
          <w:p>
            <w:pPr>
              <w:spacing w:after="0"/>
              <w:rPr>
                <w:sz w:val="18"/>
                <w:szCs w:val="18"/>
                <w:color w:val="auto"/>
              </w:rPr>
            </w:pPr>
          </w:p>
        </w:tc>
        <w:tc>
          <w:tcPr>
            <w:tcW w:w="16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294,440</w:t>
            </w:r>
          </w:p>
        </w:tc>
        <w:tc>
          <w:tcPr>
            <w:tcW w:w="360" w:type="dxa"/>
            <w:vAlign w:val="bottom"/>
            <w:tcBorders>
              <w:top w:val="single" w:sz="8" w:color="CFF0FC"/>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244,044</w:t>
            </w:r>
          </w:p>
        </w:tc>
        <w:tc>
          <w:tcPr>
            <w:tcW w:w="100" w:type="dxa"/>
            <w:vAlign w:val="bottom"/>
            <w:tcBorders>
              <w:top w:val="single" w:sz="8" w:color="CFF0FC"/>
            </w:tcBorders>
          </w:tcPr>
          <w:p>
            <w:pPr>
              <w:spacing w:after="0"/>
              <w:rPr>
                <w:sz w:val="18"/>
                <w:szCs w:val="18"/>
                <w:color w:val="auto"/>
              </w:rPr>
            </w:pPr>
          </w:p>
        </w:tc>
      </w:tr>
      <w:tr>
        <w:trPr>
          <w:trHeight w:val="250"/>
        </w:trPr>
        <w:tc>
          <w:tcPr>
            <w:tcW w:w="3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700" w:type="dxa"/>
            <w:vAlign w:val="bottom"/>
            <w:gridSpan w:val="2"/>
            <w:shd w:val="clear" w:color="auto" w:fill="CFF0FC"/>
          </w:tcPr>
          <w:p>
            <w:pPr>
              <w:jc w:val="right"/>
              <w:ind w:right="14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493,033</w:t>
            </w:r>
          </w:p>
        </w:tc>
        <w:tc>
          <w:tcPr>
            <w:tcW w:w="36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431,107</w:t>
            </w:r>
          </w:p>
        </w:tc>
        <w:tc>
          <w:tcPr>
            <w:tcW w:w="100" w:type="dxa"/>
            <w:vAlign w:val="bottom"/>
            <w:shd w:val="clear" w:color="auto" w:fill="CFF0FC"/>
          </w:tcPr>
          <w:p>
            <w:pPr>
              <w:spacing w:after="0"/>
              <w:rPr>
                <w:sz w:val="21"/>
                <w:szCs w:val="21"/>
                <w:color w:val="auto"/>
              </w:rPr>
            </w:pPr>
          </w:p>
        </w:tc>
      </w:tr>
      <w:tr>
        <w:trPr>
          <w:trHeight w:val="1203"/>
        </w:trPr>
        <w:tc>
          <w:tcPr>
            <w:tcW w:w="3260" w:type="dxa"/>
            <w:vAlign w:val="bottom"/>
            <w:tcBorders>
              <w:top w:val="single" w:sz="8" w:color="CFF0FC"/>
              <w:bottom w:val="single" w:sz="8" w:color="9A9A9A"/>
            </w:tcBorders>
          </w:tcPr>
          <w:p>
            <w:pPr>
              <w:spacing w:after="0"/>
              <w:rPr>
                <w:sz w:val="24"/>
                <w:szCs w:val="24"/>
                <w:color w:val="auto"/>
              </w:rPr>
            </w:pPr>
          </w:p>
        </w:tc>
        <w:tc>
          <w:tcPr>
            <w:tcW w:w="3060" w:type="dxa"/>
            <w:vAlign w:val="bottom"/>
            <w:tcBorders>
              <w:top w:val="single" w:sz="8" w:color="CFF0FC"/>
              <w:bottom w:val="single" w:sz="8" w:color="9A9A9A"/>
            </w:tcBorders>
          </w:tcPr>
          <w:p>
            <w:pPr>
              <w:spacing w:after="0"/>
              <w:rPr>
                <w:sz w:val="24"/>
                <w:szCs w:val="24"/>
                <w:color w:val="auto"/>
              </w:rPr>
            </w:pPr>
          </w:p>
        </w:tc>
        <w:tc>
          <w:tcPr>
            <w:tcW w:w="1640" w:type="dxa"/>
            <w:vAlign w:val="bottom"/>
            <w:tcBorders>
              <w:top w:val="single" w:sz="8" w:color="auto"/>
              <w:bottom w:val="single" w:sz="8" w:color="9A9A9A"/>
            </w:tcBorders>
          </w:tcPr>
          <w:p>
            <w:pPr>
              <w:spacing w:after="0"/>
              <w:rPr>
                <w:sz w:val="24"/>
                <w:szCs w:val="24"/>
                <w:color w:val="auto"/>
              </w:rPr>
            </w:pPr>
          </w:p>
        </w:tc>
        <w:tc>
          <w:tcPr>
            <w:tcW w:w="600" w:type="dxa"/>
            <w:vAlign w:val="bottom"/>
            <w:tcBorders>
              <w:top w:val="single" w:sz="8" w:color="auto"/>
              <w:bottom w:val="single" w:sz="8" w:color="9A9A9A"/>
            </w:tcBorders>
          </w:tcPr>
          <w:p>
            <w:pPr>
              <w:spacing w:after="0"/>
              <w:rPr>
                <w:sz w:val="24"/>
                <w:szCs w:val="24"/>
                <w:color w:val="auto"/>
              </w:rPr>
            </w:pPr>
          </w:p>
        </w:tc>
        <w:tc>
          <w:tcPr>
            <w:tcW w:w="360" w:type="dxa"/>
            <w:vAlign w:val="bottom"/>
            <w:tcBorders>
              <w:top w:val="single" w:sz="8" w:color="CFF0FC"/>
              <w:bottom w:val="single" w:sz="8" w:color="9A9A9A"/>
            </w:tcBorders>
          </w:tcPr>
          <w:p>
            <w:pPr>
              <w:spacing w:after="0"/>
              <w:rPr>
                <w:sz w:val="24"/>
                <w:szCs w:val="24"/>
                <w:color w:val="auto"/>
              </w:rPr>
            </w:pPr>
          </w:p>
        </w:tc>
        <w:tc>
          <w:tcPr>
            <w:tcW w:w="440" w:type="dxa"/>
            <w:vAlign w:val="bottom"/>
            <w:tcBorders>
              <w:top w:val="single" w:sz="8" w:color="auto"/>
              <w:bottom w:val="single" w:sz="8" w:color="9A9A9A"/>
            </w:tcBorders>
          </w:tcPr>
          <w:p>
            <w:pPr>
              <w:spacing w:after="0"/>
              <w:rPr>
                <w:sz w:val="24"/>
                <w:szCs w:val="24"/>
                <w:color w:val="auto"/>
              </w:rPr>
            </w:pPr>
          </w:p>
        </w:tc>
        <w:tc>
          <w:tcPr>
            <w:tcW w:w="178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-4191000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-3076575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-3059430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-3076575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-3059430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-1945005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-1945005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-1104900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-814070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-796290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QUINSTREET,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4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10"/>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040" w:type="dxa"/>
            <w:vAlign w:val="bottom"/>
            <w:gridSpan w:val="2"/>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287,845</w:t>
            </w:r>
          </w:p>
        </w:tc>
        <w:tc>
          <w:tcPr>
            <w:tcW w:w="18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282,596</w:t>
            </w: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573,698</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561,815</w:t>
            </w:r>
          </w:p>
        </w:tc>
        <w:tc>
          <w:tcPr>
            <w:tcW w:w="120" w:type="dxa"/>
            <w:vAlign w:val="bottom"/>
            <w:shd w:val="clear" w:color="auto" w:fill="CFF0FC"/>
          </w:tcPr>
          <w:p>
            <w:pPr>
              <w:spacing w:after="0"/>
              <w:rPr>
                <w:sz w:val="18"/>
                <w:szCs w:val="18"/>
                <w:color w:val="auto"/>
              </w:rPr>
            </w:pPr>
          </w:p>
        </w:tc>
      </w:tr>
      <w:tr>
        <w:trPr>
          <w:trHeight w:val="216"/>
        </w:trPr>
        <w:tc>
          <w:tcPr>
            <w:tcW w:w="41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Cost of revenue </w:t>
            </w:r>
            <w:r>
              <w:rPr>
                <w:rFonts w:ascii="Times New Roman" w:cs="Times New Roman" w:eastAsia="Times New Roman" w:hAnsi="Times New Roman"/>
                <w:sz w:val="24"/>
                <w:szCs w:val="24"/>
                <w:color w:val="auto"/>
                <w:vertAlign w:val="superscript"/>
              </w:rPr>
              <w:t>(1)</w:t>
            </w:r>
          </w:p>
        </w:tc>
        <w:tc>
          <w:tcPr>
            <w:tcW w:w="1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260,123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255,842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519,036</w:t>
            </w:r>
          </w:p>
        </w:tc>
        <w:tc>
          <w:tcPr>
            <w:tcW w:w="2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506,656</w:t>
            </w:r>
          </w:p>
        </w:tc>
        <w:tc>
          <w:tcPr>
            <w:tcW w:w="120" w:type="dxa"/>
            <w:vAlign w:val="bottom"/>
          </w:tcPr>
          <w:p>
            <w:pPr>
              <w:spacing w:after="0"/>
              <w:rPr>
                <w:sz w:val="18"/>
                <w:szCs w:val="18"/>
                <w:color w:val="auto"/>
              </w:rPr>
            </w:pPr>
          </w:p>
        </w:tc>
      </w:tr>
      <w:tr>
        <w:trPr>
          <w:trHeight w:val="209"/>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27,722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26,754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54,662</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55,159</w:t>
            </w:r>
          </w:p>
        </w:tc>
        <w:tc>
          <w:tcPr>
            <w:tcW w:w="120" w:type="dxa"/>
            <w:vAlign w:val="bottom"/>
            <w:shd w:val="clear" w:color="auto" w:fill="CFF0FC"/>
          </w:tcPr>
          <w:p>
            <w:pPr>
              <w:spacing w:after="0"/>
              <w:rPr>
                <w:sz w:val="18"/>
                <w:szCs w:val="18"/>
                <w:color w:val="auto"/>
              </w:rPr>
            </w:pPr>
          </w:p>
        </w:tc>
      </w:tr>
      <w:tr>
        <w:trPr>
          <w:trHeight w:val="216"/>
        </w:trPr>
        <w:tc>
          <w:tcPr>
            <w:tcW w:w="41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Operating expenses: </w:t>
            </w:r>
            <w:r>
              <w:rPr>
                <w:rFonts w:ascii="Times New Roman" w:cs="Times New Roman" w:eastAsia="Times New Roman" w:hAnsi="Times New Roman"/>
                <w:sz w:val="24"/>
                <w:szCs w:val="24"/>
                <w:color w:val="auto"/>
                <w:vertAlign w:val="superscript"/>
              </w:rPr>
              <w:t>(1)</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Product development</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16,475</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17,330</w:t>
            </w:r>
          </w:p>
        </w:tc>
        <w:tc>
          <w:tcPr>
            <w:tcW w:w="120" w:type="dxa"/>
            <w:vAlign w:val="bottom"/>
            <w:shd w:val="clear" w:color="auto" w:fill="CFF0FC"/>
          </w:tcPr>
          <w:p>
            <w:pPr>
              <w:spacing w:after="0"/>
              <w:rPr>
                <w:sz w:val="18"/>
                <w:szCs w:val="18"/>
                <w:color w:val="auto"/>
              </w:rPr>
            </w:pPr>
          </w:p>
        </w:tc>
      </w:tr>
      <w:tr>
        <w:trPr>
          <w:trHeight w:val="216"/>
        </w:trPr>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9,663</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9,227</w:t>
            </w:r>
          </w:p>
        </w:tc>
        <w:tc>
          <w:tcPr>
            <w:tcW w:w="120" w:type="dxa"/>
            <w:vAlign w:val="bottom"/>
          </w:tcPr>
          <w:p>
            <w:pPr>
              <w:spacing w:after="0"/>
              <w:rPr>
                <w:sz w:val="18"/>
                <w:szCs w:val="18"/>
                <w:color w:val="auto"/>
              </w:rPr>
            </w:pPr>
          </w:p>
        </w:tc>
      </w:tr>
      <w:tr>
        <w:trPr>
          <w:trHeight w:val="216"/>
        </w:trPr>
        <w:tc>
          <w:tcPr>
            <w:tcW w:w="41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13,222</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14,349</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22,488</w:t>
            </w:r>
          </w:p>
        </w:tc>
        <w:tc>
          <w:tcPr>
            <w:tcW w:w="28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31,197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6,036</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(2,595)</w:t>
            </w:r>
          </w:p>
        </w:tc>
      </w:tr>
      <w:tr>
        <w:trPr>
          <w:trHeight w:val="216"/>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FF0FC"/>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(138)</w:t>
            </w:r>
          </w:p>
        </w:tc>
        <w:tc>
          <w:tcPr>
            <w:tcW w:w="5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(181)</w:t>
            </w:r>
          </w:p>
        </w:tc>
      </w:tr>
      <w:tr>
        <w:trPr>
          <w:trHeight w:val="20"/>
        </w:trPr>
        <w:tc>
          <w:tcPr>
            <w:tcW w:w="41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(3,009)</w:t>
            </w:r>
          </w:p>
        </w:tc>
      </w:tr>
      <w:tr>
        <w:trPr>
          <w:trHeight w:val="216"/>
        </w:trPr>
        <w:tc>
          <w:tcPr>
            <w:tcW w:w="4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16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48,917</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48,733</w:t>
            </w:r>
          </w:p>
        </w:tc>
        <w:tc>
          <w:tcPr>
            <w:tcW w:w="28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40" w:type="dxa"/>
            <w:vAlign w:val="bottom"/>
            <w:gridSpan w:val="2"/>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50,227</w:t>
            </w:r>
          </w:p>
        </w:tc>
        <w:tc>
          <w:tcPr>
            <w:tcW w:w="180" w:type="dxa"/>
            <w:vAlign w:val="bottom"/>
          </w:tcPr>
          <w:p>
            <w:pPr>
              <w:spacing w:after="0"/>
              <w:rPr>
                <w:sz w:val="18"/>
                <w:szCs w:val="18"/>
                <w:color w:val="auto"/>
              </w:rPr>
            </w:pPr>
          </w:p>
        </w:tc>
        <w:tc>
          <w:tcPr>
            <w:tcW w:w="6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(1,549)</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54,762</w:t>
            </w:r>
          </w:p>
        </w:tc>
        <w:tc>
          <w:tcPr>
            <w:tcW w:w="28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(2,915)</w:t>
            </w:r>
          </w:p>
        </w:tc>
      </w:tr>
      <w:tr>
        <w:trPr>
          <w:trHeight w:val="20"/>
        </w:trPr>
        <w:tc>
          <w:tcPr>
            <w:tcW w:w="4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4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6"/>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8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(0.03)</w:t>
            </w: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28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(0.05)</w:t>
            </w:r>
          </w:p>
        </w:tc>
      </w:tr>
      <w:tr>
        <w:trPr>
          <w:trHeight w:val="20"/>
        </w:trPr>
        <w:tc>
          <w:tcPr>
            <w:tcW w:w="4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196"/>
        </w:trPr>
        <w:tc>
          <w:tcPr>
            <w:tcW w:w="4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spacing w:after="0"/>
              <w:rPr>
                <w:sz w:val="17"/>
                <w:szCs w:val="17"/>
                <w:color w:val="auto"/>
              </w:rPr>
            </w:pPr>
          </w:p>
        </w:tc>
        <w:tc>
          <w:tcPr>
            <w:tcW w:w="880" w:type="dxa"/>
            <w:vAlign w:val="bottom"/>
          </w:tcPr>
          <w:p>
            <w:pPr>
              <w:jc w:val="right"/>
              <w:ind w:right="69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0.87</w:t>
            </w:r>
          </w:p>
        </w:tc>
        <w:tc>
          <w:tcPr>
            <w:tcW w:w="180" w:type="dxa"/>
            <w:vAlign w:val="bottom"/>
          </w:tcPr>
          <w:p>
            <w:pPr>
              <w:spacing w:after="0"/>
              <w:rPr>
                <w:sz w:val="17"/>
                <w:szCs w:val="17"/>
                <w:color w:val="auto"/>
              </w:rPr>
            </w:pPr>
          </w:p>
        </w:tc>
        <w:tc>
          <w:tcPr>
            <w:tcW w:w="640" w:type="dxa"/>
            <w:vAlign w:val="bottom"/>
            <w:gridSpan w:val="2"/>
          </w:tcPr>
          <w:p>
            <w:pPr>
              <w:jc w:val="right"/>
              <w:ind w:right="4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(0.03)</w:t>
            </w:r>
          </w:p>
        </w:tc>
        <w:tc>
          <w:tcPr>
            <w:tcW w:w="46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0.94</w:t>
            </w:r>
          </w:p>
        </w:tc>
        <w:tc>
          <w:tcPr>
            <w:tcW w:w="280" w:type="dxa"/>
            <w:vAlign w:val="bottom"/>
          </w:tcPr>
          <w:p>
            <w:pPr>
              <w:spacing w:after="0"/>
              <w:rPr>
                <w:sz w:val="17"/>
                <w:szCs w:val="17"/>
                <w:color w:val="auto"/>
              </w:rPr>
            </w:pPr>
          </w:p>
        </w:tc>
        <w:tc>
          <w:tcPr>
            <w:tcW w:w="520" w:type="dxa"/>
            <w:vAlign w:val="bottom"/>
          </w:tcPr>
          <w:p>
            <w:pPr>
              <w:jc w:val="right"/>
              <w:ind w:right="3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(0.05)</w:t>
            </w:r>
          </w:p>
        </w:tc>
      </w:tr>
      <w:tr>
        <w:trPr>
          <w:trHeight w:val="20"/>
        </w:trPr>
        <w:tc>
          <w:tcPr>
            <w:tcW w:w="4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4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198"/>
        </w:trPr>
        <w:tc>
          <w:tcPr>
            <w:tcW w:w="4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 used in computing net income</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56,959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56,335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57,159</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56,079</w:t>
            </w:r>
          </w:p>
        </w:tc>
        <w:tc>
          <w:tcPr>
            <w:tcW w:w="120" w:type="dxa"/>
            <w:vAlign w:val="bottom"/>
            <w:shd w:val="clear" w:color="auto" w:fill="CFF0FC"/>
          </w:tcPr>
          <w:p>
            <w:pPr>
              <w:spacing w:after="0"/>
              <w:rPr>
                <w:sz w:val="18"/>
                <w:szCs w:val="18"/>
                <w:color w:val="auto"/>
              </w:rPr>
            </w:pP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57,919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56,335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58,345</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56,079</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-2308225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-2308225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-2308225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-2308225</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-1751330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-1751330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-1751330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-1751330</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-1468120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-1468120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-1468120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-1468120</wp:posOffset>
            </wp:positionV>
            <wp:extent cx="774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-885190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-868045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-885190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-868045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-885190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-868045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-885190</wp:posOffset>
            </wp:positionV>
            <wp:extent cx="77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-868045</wp:posOffset>
            </wp:positionV>
            <wp:extent cx="774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264858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48585" cy="8890"/>
                    </a:xfrm>
                    <a:prstGeom prst="rect">
                      <a:avLst/>
                    </a:prstGeom>
                    <a:noFill/>
                  </pic:spPr>
                </pic:pic>
              </a:graphicData>
            </a:graphic>
          </wp:anchor>
        </w:drawing>
      </w:r>
    </w:p>
    <w:p>
      <w:pPr>
        <w:spacing w:after="0" w:line="50" w:lineRule="exact"/>
        <w:rPr>
          <w:sz w:val="20"/>
          <w:szCs w:val="20"/>
          <w:color w:val="auto"/>
        </w:rPr>
      </w:pPr>
    </w:p>
    <w:p>
      <w:pPr>
        <w:ind w:left="200" w:hanging="192"/>
        <w:spacing w:after="0"/>
        <w:tabs>
          <w:tab w:leader="none" w:pos="200" w:val="left"/>
        </w:tabs>
        <w:numPr>
          <w:ilvl w:val="0"/>
          <w:numId w:val="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Cost of revenue and operating expenses include stock-based compensation expense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Cost of revenue</w:t>
            </w:r>
          </w:p>
        </w:tc>
        <w:tc>
          <w:tcPr>
            <w:tcW w:w="174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3,801</w:t>
            </w:r>
          </w:p>
        </w:tc>
        <w:tc>
          <w:tcPr>
            <w:tcW w:w="72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3,337</w:t>
            </w:r>
          </w:p>
        </w:tc>
        <w:tc>
          <w:tcPr>
            <w:tcW w:w="72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7,376</w:t>
            </w:r>
          </w:p>
        </w:tc>
        <w:tc>
          <w:tcPr>
            <w:tcW w:w="72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6,212</w:t>
            </w:r>
          </w:p>
        </w:tc>
      </w:tr>
      <w:tr>
        <w:trPr>
          <w:trHeight w:val="216"/>
        </w:trPr>
        <w:tc>
          <w:tcPr>
            <w:tcW w:w="3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Product development</w:t>
            </w:r>
          </w:p>
        </w:tc>
        <w:tc>
          <w:tcPr>
            <w:tcW w:w="17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1,546</w:t>
            </w:r>
          </w:p>
        </w:tc>
        <w:tc>
          <w:tcPr>
            <w:tcW w:w="72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1,236</w:t>
            </w:r>
          </w:p>
        </w:tc>
        <w:tc>
          <w:tcPr>
            <w:tcW w:w="7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2,999</w:t>
            </w:r>
          </w:p>
        </w:tc>
        <w:tc>
          <w:tcPr>
            <w:tcW w:w="7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2,282</w:t>
            </w:r>
          </w:p>
        </w:tc>
      </w:tr>
      <w:tr>
        <w:trPr>
          <w:trHeight w:val="216"/>
        </w:trPr>
        <w:tc>
          <w:tcPr>
            <w:tcW w:w="3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Sales and marketing</w:t>
            </w:r>
          </w:p>
        </w:tc>
        <w:tc>
          <w:tcPr>
            <w:tcW w:w="17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1,318</w:t>
            </w:r>
          </w:p>
        </w:tc>
        <w:tc>
          <w:tcPr>
            <w:tcW w:w="7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1,325</w:t>
            </w:r>
          </w:p>
        </w:tc>
        <w:tc>
          <w:tcPr>
            <w:tcW w:w="7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2,599</w:t>
            </w:r>
          </w:p>
        </w:tc>
        <w:tc>
          <w:tcPr>
            <w:tcW w:w="7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2,420</w:t>
            </w:r>
          </w:p>
        </w:tc>
      </w:tr>
      <w:tr>
        <w:trPr>
          <w:trHeight w:val="234"/>
        </w:trPr>
        <w:tc>
          <w:tcPr>
            <w:tcW w:w="3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4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2,887</w:t>
            </w:r>
          </w:p>
        </w:tc>
        <w:tc>
          <w:tcPr>
            <w:tcW w:w="720" w:type="dxa"/>
            <w:vAlign w:val="bottom"/>
          </w:tcPr>
          <w:p>
            <w:pPr>
              <w:spacing w:after="0"/>
              <w:rPr>
                <w:sz w:val="20"/>
                <w:szCs w:val="20"/>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3,154</w:t>
            </w:r>
          </w:p>
        </w:tc>
        <w:tc>
          <w:tcPr>
            <w:tcW w:w="72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5,781</w:t>
            </w:r>
          </w:p>
        </w:tc>
        <w:tc>
          <w:tcPr>
            <w:tcW w:w="72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6,545</w:t>
            </w:r>
          </w:p>
        </w:tc>
      </w:tr>
      <w:tr>
        <w:trPr>
          <w:trHeight w:val="1204"/>
        </w:trPr>
        <w:tc>
          <w:tcPr>
            <w:tcW w:w="318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QUINSTREET,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40" w:type="dxa"/>
            <w:vAlign w:val="bottom"/>
            <w:gridSpan w:val="3"/>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44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20" w:type="dxa"/>
            <w:vAlign w:val="bottom"/>
          </w:tcPr>
          <w:p>
            <w:pPr>
              <w:jc w:val="right"/>
              <w:ind w:right="758"/>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50,227</w:t>
            </w:r>
          </w:p>
        </w:tc>
        <w:tc>
          <w:tcPr>
            <w:tcW w:w="280" w:type="dxa"/>
            <w:vAlign w:val="bottom"/>
          </w:tcPr>
          <w:p>
            <w:pPr>
              <w:spacing w:after="0"/>
              <w:rPr>
                <w:sz w:val="18"/>
                <w:szCs w:val="18"/>
                <w:color w:val="auto"/>
              </w:rPr>
            </w:pPr>
          </w:p>
        </w:tc>
        <w:tc>
          <w:tcPr>
            <w:tcW w:w="96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(1,549)</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54,762</w:t>
            </w:r>
          </w:p>
        </w:tc>
        <w:tc>
          <w:tcPr>
            <w:tcW w:w="26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(2,915)</w:t>
            </w:r>
          </w:p>
        </w:tc>
        <w:tc>
          <w:tcPr>
            <w:tcW w:w="0" w:type="dxa"/>
            <w:vAlign w:val="bottom"/>
          </w:tcPr>
          <w:p>
            <w:pPr>
              <w:spacing w:after="0"/>
              <w:rPr>
                <w:sz w:val="1"/>
                <w:szCs w:val="1"/>
                <w:color w:val="auto"/>
              </w:rPr>
            </w:pPr>
          </w:p>
        </w:tc>
      </w:tr>
      <w:tr>
        <w:trPr>
          <w:trHeight w:val="198"/>
        </w:trPr>
        <w:tc>
          <w:tcPr>
            <w:tcW w:w="44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(loss) to net cash</w:t>
            </w:r>
          </w:p>
        </w:tc>
        <w:tc>
          <w:tcPr>
            <w:tcW w:w="9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used in operating activities:</w:t>
            </w:r>
          </w:p>
        </w:tc>
        <w:tc>
          <w:tcPr>
            <w:tcW w:w="9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9,552</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18,755</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4,934</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10,749</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the fair value of contingent consideration</w:t>
            </w: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40" w:type="dxa"/>
            <w:vAlign w:val="bottom"/>
            <w:shd w:val="clear" w:color="auto" w:fill="CFF0FC"/>
          </w:tcPr>
          <w:p>
            <w:pPr>
              <w:ind w:left="40"/>
              <w:spacing w:after="0" w:line="198" w:lineRule="exact"/>
              <w:rPr>
                <w:sz w:val="20"/>
                <w:szCs w:val="20"/>
                <w:color w:val="auto"/>
              </w:rPr>
            </w:pPr>
            <w:r>
              <w:rPr>
                <w:rFonts w:ascii="Times New Roman" w:cs="Times New Roman" w:eastAsia="Times New Roman" w:hAnsi="Times New Roman"/>
                <w:sz w:val="18"/>
                <w:szCs w:val="18"/>
                <w:color w:val="auto"/>
              </w:rPr>
              <w:t>Provision for sales returns and doubtful accounts</w:t>
            </w:r>
          </w:p>
        </w:tc>
        <w:tc>
          <w:tcPr>
            <w:tcW w:w="9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receivable</w:t>
            </w:r>
          </w:p>
        </w:tc>
        <w:tc>
          <w:tcPr>
            <w:tcW w:w="9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2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Non-cash lease expense</w:t>
            </w: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9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(691)</w:t>
            </w: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(568)</w:t>
            </w:r>
          </w:p>
        </w:tc>
        <w:tc>
          <w:tcPr>
            <w:tcW w:w="5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6"/>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Release of tax valuation allowance</w:t>
            </w:r>
          </w:p>
        </w:tc>
        <w:tc>
          <w:tcPr>
            <w:tcW w:w="9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(48,263)</w:t>
            </w:r>
          </w:p>
        </w:tc>
        <w:tc>
          <w:tcPr>
            <w:tcW w:w="9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(48,263)</w:t>
            </w:r>
          </w:p>
        </w:tc>
        <w:tc>
          <w:tcPr>
            <w:tcW w:w="5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Other adjustments, net</w:t>
            </w:r>
          </w:p>
        </w:tc>
        <w:tc>
          <w:tcPr>
            <w:tcW w:w="9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(82)</w:t>
            </w: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(745)</w:t>
            </w:r>
          </w:p>
        </w:tc>
        <w:tc>
          <w:tcPr>
            <w:tcW w:w="5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16"/>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Accounts receivable</w:t>
            </w:r>
          </w:p>
        </w:tc>
        <w:tc>
          <w:tcPr>
            <w:tcW w:w="9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(3,522)</w:t>
            </w: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23,227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(18,346)</w:t>
            </w:r>
          </w:p>
        </w:tc>
        <w:tc>
          <w:tcPr>
            <w:tcW w:w="5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(40,367)</w:t>
            </w:r>
          </w:p>
        </w:tc>
        <w:tc>
          <w:tcPr>
            <w:tcW w:w="0" w:type="dxa"/>
            <w:vAlign w:val="bottom"/>
          </w:tcPr>
          <w:p>
            <w:pPr>
              <w:spacing w:after="0"/>
              <w:rPr>
                <w:sz w:val="1"/>
                <w:szCs w:val="1"/>
                <w:color w:val="auto"/>
              </w:rPr>
            </w:pPr>
          </w:p>
        </w:tc>
      </w:tr>
      <w:tr>
        <w:trPr>
          <w:trHeight w:val="216"/>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(4,262)</w:t>
            </w: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(3,084)</w:t>
            </w: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(5,121)</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9,393</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Accrued liabilities</w:t>
            </w: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8,266</w:t>
            </w:r>
          </w:p>
        </w:tc>
        <w:tc>
          <w:tcPr>
            <w:tcW w:w="2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10,333</w:t>
            </w:r>
          </w:p>
        </w:tc>
        <w:tc>
          <w:tcPr>
            <w:tcW w:w="2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2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21,623</w:t>
            </w:r>
          </w:p>
        </w:tc>
        <w:tc>
          <w:tcPr>
            <w:tcW w:w="2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38,678</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41,224</w:t>
            </w:r>
          </w:p>
        </w:tc>
        <w:tc>
          <w:tcPr>
            <w:tcW w:w="26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24,972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9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(889)</w:t>
            </w: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(2,063)</w:t>
            </w:r>
          </w:p>
        </w:tc>
        <w:tc>
          <w:tcPr>
            <w:tcW w:w="5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(884)</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Internal software development costs</w:t>
            </w:r>
          </w:p>
        </w:tc>
        <w:tc>
          <w:tcPr>
            <w:tcW w:w="9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(2,581)</w:t>
            </w:r>
          </w:p>
        </w:tc>
        <w:tc>
          <w:tcPr>
            <w:tcW w:w="9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(5,499)</w:t>
            </w:r>
          </w:p>
        </w:tc>
        <w:tc>
          <w:tcPr>
            <w:tcW w:w="5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(4,490)</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(3,470)</w:t>
            </w: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(2,768)</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(7,562)</w:t>
            </w:r>
          </w:p>
        </w:tc>
        <w:tc>
          <w:tcPr>
            <w:tcW w:w="5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(5,374)</w:t>
            </w:r>
          </w:p>
        </w:tc>
        <w:tc>
          <w:tcPr>
            <w:tcW w:w="0" w:type="dxa"/>
            <w:vAlign w:val="bottom"/>
          </w:tcPr>
          <w:p>
            <w:pPr>
              <w:spacing w:after="0"/>
              <w:rPr>
                <w:sz w:val="1"/>
                <w:szCs w:val="1"/>
                <w:color w:val="auto"/>
              </w:rPr>
            </w:pPr>
          </w:p>
        </w:tc>
      </w:tr>
      <w:tr>
        <w:trPr>
          <w:trHeight w:val="209"/>
        </w:trPr>
        <w:tc>
          <w:tcPr>
            <w:tcW w:w="44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Proceeds from exercise of stock options and issuance of</w:t>
            </w:r>
          </w:p>
        </w:tc>
        <w:tc>
          <w:tcPr>
            <w:tcW w:w="9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under employee stock purchase plan</w:t>
            </w:r>
          </w:p>
        </w:tc>
        <w:tc>
          <w:tcPr>
            <w:tcW w:w="9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2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Payment of withholding taxes related to release of</w:t>
            </w: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net of share settlement</w:t>
            </w:r>
          </w:p>
        </w:tc>
        <w:tc>
          <w:tcPr>
            <w:tcW w:w="9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(2,383)</w:t>
            </w:r>
          </w:p>
        </w:tc>
        <w:tc>
          <w:tcPr>
            <w:tcW w:w="96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(3,076)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(7,658)</w:t>
            </w:r>
          </w:p>
        </w:tc>
        <w:tc>
          <w:tcPr>
            <w:tcW w:w="50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(8,500)</w:t>
            </w:r>
          </w:p>
        </w:tc>
        <w:tc>
          <w:tcPr>
            <w:tcW w:w="0" w:type="dxa"/>
            <w:vAlign w:val="bottom"/>
          </w:tcPr>
          <w:p>
            <w:pPr>
              <w:spacing w:after="0"/>
              <w:rPr>
                <w:sz w:val="1"/>
                <w:szCs w:val="1"/>
                <w:color w:val="auto"/>
              </w:rPr>
            </w:pPr>
          </w:p>
        </w:tc>
      </w:tr>
      <w:tr>
        <w:trPr>
          <w:trHeight w:val="198"/>
        </w:trPr>
        <w:tc>
          <w:tcPr>
            <w:tcW w:w="44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Post-closing payments and contingent consideration</w:t>
            </w:r>
          </w:p>
        </w:tc>
        <w:tc>
          <w:tcPr>
            <w:tcW w:w="9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related to acquisitions</w:t>
            </w:r>
          </w:p>
        </w:tc>
        <w:tc>
          <w:tcPr>
            <w:tcW w:w="9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(4,614)</w:t>
            </w:r>
          </w:p>
        </w:tc>
        <w:tc>
          <w:tcPr>
            <w:tcW w:w="5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(5,144)</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9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(10,052)</w:t>
            </w:r>
          </w:p>
        </w:tc>
        <w:tc>
          <w:tcPr>
            <w:tcW w:w="9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(16,797)</w:t>
            </w:r>
          </w:p>
        </w:tc>
        <w:tc>
          <w:tcPr>
            <w:tcW w:w="5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(12,435)</w:t>
            </w: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(3,069)</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(27,735)</w:t>
            </w:r>
          </w:p>
        </w:tc>
        <w:tc>
          <w:tcPr>
            <w:tcW w:w="5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(12,275)</w:t>
            </w:r>
          </w:p>
        </w:tc>
        <w:tc>
          <w:tcPr>
            <w:tcW w:w="0" w:type="dxa"/>
            <w:vAlign w:val="bottom"/>
          </w:tcPr>
          <w:p>
            <w:pPr>
              <w:spacing w:after="0"/>
              <w:rPr>
                <w:sz w:val="1"/>
                <w:szCs w:val="1"/>
                <w:color w:val="auto"/>
              </w:rPr>
            </w:pPr>
          </w:p>
        </w:tc>
      </w:tr>
      <w:tr>
        <w:trPr>
          <w:trHeight w:val="191"/>
        </w:trPr>
        <w:tc>
          <w:tcPr>
            <w:tcW w:w="4440" w:type="dxa"/>
            <w:vAlign w:val="bottom"/>
            <w:tcBorders>
              <w:top w:val="single" w:sz="8" w:color="CFF0FC"/>
            </w:tcBorders>
          </w:tcPr>
          <w:p>
            <w:pPr>
              <w:spacing w:after="0" w:line="191" w:lineRule="exact"/>
              <w:rPr>
                <w:sz w:val="20"/>
                <w:szCs w:val="20"/>
                <w:color w:val="auto"/>
              </w:rPr>
            </w:pPr>
            <w:r>
              <w:rPr>
                <w:rFonts w:ascii="Times New Roman" w:cs="Times New Roman" w:eastAsia="Times New Roman" w:hAnsi="Times New Roman"/>
                <w:sz w:val="18"/>
                <w:szCs w:val="18"/>
                <w:color w:val="auto"/>
              </w:rPr>
              <w:t>Effect of exchange rate changes on cash, cash equivalents</w:t>
            </w:r>
          </w:p>
        </w:tc>
        <w:tc>
          <w:tcPr>
            <w:tcW w:w="9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80" w:type="dxa"/>
            <w:vAlign w:val="bottom"/>
            <w:tcBorders>
              <w:top w:val="single" w:sz="8" w:color="CFF0FC"/>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and restricted cash</w:t>
            </w:r>
          </w:p>
        </w:tc>
        <w:tc>
          <w:tcPr>
            <w:tcW w:w="9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w:t>
            </w:r>
          </w:p>
        </w:tc>
        <w:tc>
          <w:tcPr>
            <w:tcW w:w="9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w:t>
            </w:r>
          </w:p>
        </w:tc>
        <w:tc>
          <w:tcPr>
            <w:tcW w:w="5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5,664</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32,853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5,883</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Cash, cash equivalents and restricted cash at beginning of</w:t>
            </w:r>
          </w:p>
        </w:tc>
        <w:tc>
          <w:tcPr>
            <w:tcW w:w="92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5"/>
              </w:rPr>
              <w:t>101,313</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24,997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101,094</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50,503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period</w:t>
            </w: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920" w:type="dxa"/>
            <w:vAlign w:val="bottom"/>
            <w:shd w:val="clear" w:color="auto" w:fill="CFF0FC"/>
          </w:tcPr>
          <w:p>
            <w:pPr>
              <w:jc w:val="right"/>
              <w:ind w:right="758"/>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106,977</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57,850</w:t>
            </w:r>
          </w:p>
        </w:tc>
        <w:tc>
          <w:tcPr>
            <w:tcW w:w="14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106,977</w:t>
            </w:r>
          </w:p>
        </w:tc>
        <w:tc>
          <w:tcPr>
            <w:tcW w:w="26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57,850</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4440" w:type="dxa"/>
            <w:vAlign w:val="bottom"/>
            <w:tcBorders>
              <w:top w:val="single" w:sz="8" w:color="CFF0FC"/>
            </w:tcBorders>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w:t>
            </w:r>
          </w:p>
        </w:tc>
        <w:tc>
          <w:tcPr>
            <w:tcW w:w="9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to the condensed consolidated balance sheets</w:t>
            </w: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20" w:type="dxa"/>
            <w:vAlign w:val="bottom"/>
            <w:shd w:val="clear" w:color="auto" w:fill="CFF0FC"/>
          </w:tcPr>
          <w:p>
            <w:pPr>
              <w:jc w:val="right"/>
              <w:ind w:right="758"/>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106,962</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57,835</w:t>
            </w:r>
          </w:p>
        </w:tc>
        <w:tc>
          <w:tcPr>
            <w:tcW w:w="14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106,962</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57,835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included in other assets, noncurrent</w:t>
            </w: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920" w:type="dxa"/>
            <w:vAlign w:val="bottom"/>
            <w:shd w:val="clear" w:color="auto" w:fill="CFF0FC"/>
          </w:tcPr>
          <w:p>
            <w:pPr>
              <w:jc w:val="right"/>
              <w:ind w:right="758"/>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106,977</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57,850</w:t>
            </w:r>
          </w:p>
        </w:tc>
        <w:tc>
          <w:tcPr>
            <w:tcW w:w="14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106,977</w:t>
            </w:r>
          </w:p>
        </w:tc>
        <w:tc>
          <w:tcPr>
            <w:tcW w:w="26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57,850</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203"/>
        </w:trPr>
        <w:tc>
          <w:tcPr>
            <w:tcW w:w="4440" w:type="dxa"/>
            <w:vAlign w:val="bottom"/>
            <w:tcBorders>
              <w:top w:val="single" w:sz="8" w:color="CFF0FC"/>
              <w:bottom w:val="single" w:sz="8" w:color="9A9A9A"/>
            </w:tcBorders>
          </w:tcPr>
          <w:p>
            <w:pPr>
              <w:spacing w:after="0"/>
              <w:rPr>
                <w:sz w:val="24"/>
                <w:szCs w:val="24"/>
                <w:color w:val="auto"/>
              </w:rPr>
            </w:pPr>
          </w:p>
        </w:tc>
        <w:tc>
          <w:tcPr>
            <w:tcW w:w="920" w:type="dxa"/>
            <w:vAlign w:val="bottom"/>
            <w:tcBorders>
              <w:top w:val="single" w:sz="8" w:color="auto"/>
              <w:bottom w:val="single" w:sz="8" w:color="9A9A9A"/>
            </w:tcBorders>
          </w:tcPr>
          <w:p>
            <w:pPr>
              <w:spacing w:after="0"/>
              <w:rPr>
                <w:sz w:val="24"/>
                <w:szCs w:val="24"/>
                <w:color w:val="auto"/>
              </w:rPr>
            </w:pPr>
          </w:p>
        </w:tc>
        <w:tc>
          <w:tcPr>
            <w:tcW w:w="600" w:type="dxa"/>
            <w:vAlign w:val="bottom"/>
            <w:tcBorders>
              <w:top w:val="single" w:sz="8" w:color="auto"/>
              <w:bottom w:val="single" w:sz="8" w:color="9A9A9A"/>
            </w:tcBorders>
          </w:tcPr>
          <w:p>
            <w:pPr>
              <w:spacing w:after="0"/>
              <w:rPr>
                <w:sz w:val="24"/>
                <w:szCs w:val="24"/>
                <w:color w:val="auto"/>
              </w:rPr>
            </w:pPr>
          </w:p>
        </w:tc>
        <w:tc>
          <w:tcPr>
            <w:tcW w:w="280" w:type="dxa"/>
            <w:vAlign w:val="bottom"/>
            <w:tcBorders>
              <w:top w:val="single" w:sz="8" w:color="CFF0FC"/>
              <w:bottom w:val="single" w:sz="8" w:color="9A9A9A"/>
            </w:tcBorders>
          </w:tcPr>
          <w:p>
            <w:pPr>
              <w:spacing w:after="0"/>
              <w:rPr>
                <w:sz w:val="24"/>
                <w:szCs w:val="24"/>
                <w:color w:val="auto"/>
              </w:rPr>
            </w:pPr>
          </w:p>
        </w:tc>
        <w:tc>
          <w:tcPr>
            <w:tcW w:w="960" w:type="dxa"/>
            <w:vAlign w:val="bottom"/>
            <w:tcBorders>
              <w:top w:val="single" w:sz="8" w:color="auto"/>
              <w:bottom w:val="single" w:sz="8" w:color="9A9A9A"/>
            </w:tcBorders>
          </w:tcPr>
          <w:p>
            <w:pPr>
              <w:spacing w:after="0"/>
              <w:rPr>
                <w:sz w:val="24"/>
                <w:szCs w:val="24"/>
                <w:color w:val="auto"/>
              </w:rPr>
            </w:pPr>
          </w:p>
        </w:tc>
        <w:tc>
          <w:tcPr>
            <w:tcW w:w="580" w:type="dxa"/>
            <w:vAlign w:val="bottom"/>
            <w:tcBorders>
              <w:top w:val="single" w:sz="8" w:color="auto"/>
              <w:bottom w:val="single" w:sz="8" w:color="9A9A9A"/>
            </w:tcBorders>
          </w:tcPr>
          <w:p>
            <w:pPr>
              <w:spacing w:after="0"/>
              <w:rPr>
                <w:sz w:val="24"/>
                <w:szCs w:val="24"/>
                <w:color w:val="auto"/>
              </w:rPr>
            </w:pPr>
          </w:p>
        </w:tc>
        <w:tc>
          <w:tcPr>
            <w:tcW w:w="140" w:type="dxa"/>
            <w:vAlign w:val="bottom"/>
            <w:tcBorders>
              <w:top w:val="single" w:sz="8" w:color="CFF0FC"/>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320" w:type="dxa"/>
            <w:vAlign w:val="bottom"/>
            <w:tcBorders>
              <w:top w:val="single" w:sz="8" w:color="auto"/>
              <w:bottom w:val="single" w:sz="8" w:color="9A9A9A"/>
            </w:tcBorders>
          </w:tcPr>
          <w:p>
            <w:pPr>
              <w:spacing w:after="0"/>
              <w:rPr>
                <w:sz w:val="24"/>
                <w:szCs w:val="24"/>
                <w:color w:val="auto"/>
              </w:rPr>
            </w:pPr>
          </w:p>
        </w:tc>
        <w:tc>
          <w:tcPr>
            <w:tcW w:w="1100" w:type="dxa"/>
            <w:vAlign w:val="bottom"/>
            <w:tcBorders>
              <w:top w:val="single" w:sz="8" w:color="auto"/>
              <w:bottom w:val="single" w:sz="8" w:color="9A9A9A"/>
            </w:tcBorders>
          </w:tcPr>
          <w:p>
            <w:pPr>
              <w:spacing w:after="0"/>
              <w:rPr>
                <w:sz w:val="24"/>
                <w:szCs w:val="24"/>
                <w:color w:val="auto"/>
              </w:rPr>
            </w:pPr>
          </w:p>
        </w:tc>
        <w:tc>
          <w:tcPr>
            <w:tcW w:w="260" w:type="dxa"/>
            <w:vAlign w:val="bottom"/>
            <w:tcBorders>
              <w:top w:val="single" w:sz="8" w:color="CFF0FC"/>
              <w:bottom w:val="single" w:sz="8" w:color="9A9A9A"/>
            </w:tcBorders>
          </w:tcPr>
          <w:p>
            <w:pPr>
              <w:spacing w:after="0"/>
              <w:rPr>
                <w:sz w:val="24"/>
                <w:szCs w:val="24"/>
                <w:color w:val="auto"/>
              </w:rPr>
            </w:pPr>
          </w:p>
        </w:tc>
        <w:tc>
          <w:tcPr>
            <w:tcW w:w="500" w:type="dxa"/>
            <w:vAlign w:val="bottom"/>
            <w:tcBorders>
              <w:top w:val="single" w:sz="8" w:color="auto"/>
              <w:bottom w:val="single" w:sz="8" w:color="9A9A9A"/>
            </w:tcBorders>
          </w:tcPr>
          <w:p>
            <w:pPr>
              <w:spacing w:after="0"/>
              <w:rPr>
                <w:sz w:val="24"/>
                <w:szCs w:val="24"/>
                <w:color w:val="auto"/>
              </w:rPr>
            </w:pPr>
          </w:p>
        </w:tc>
        <w:tc>
          <w:tcPr>
            <w:tcW w:w="92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FF0FC"/>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-4182745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-4182745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-4182745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-4182745</wp:posOffset>
            </wp:positionV>
            <wp:extent cx="774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-3616960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-3616960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-3616960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-3616960</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-2365375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-2365375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-2365375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-2365375</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-1533525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-1516380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-1533525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-1516380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-1533525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-1516380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-1533525</wp:posOffset>
            </wp:positionV>
            <wp:extent cx="774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-1516380</wp:posOffset>
            </wp:positionV>
            <wp:extent cx="77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-814070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-796290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-814070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-796290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-814070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-796290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-814070</wp:posOffset>
            </wp:positionV>
            <wp:extent cx="774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-796290</wp:posOffset>
            </wp:positionV>
            <wp:extent cx="774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QUINSTREET,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INCOME (LOSS) TO</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ADJUSTED NET INCOME</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4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436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36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50,227</w:t>
            </w:r>
          </w:p>
        </w:tc>
        <w:tc>
          <w:tcPr>
            <w:tcW w:w="26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(1,549)</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54,762</w:t>
            </w:r>
          </w:p>
        </w:tc>
        <w:tc>
          <w:tcPr>
            <w:tcW w:w="1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(2,915)</w:t>
            </w:r>
          </w:p>
        </w:tc>
      </w:tr>
      <w:tr>
        <w:trPr>
          <w:trHeight w:val="216"/>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4,936</w:t>
            </w:r>
          </w:p>
        </w:tc>
        <w:tc>
          <w:tcPr>
            <w:tcW w:w="100" w:type="dxa"/>
            <w:vAlign w:val="bottom"/>
          </w:tcPr>
          <w:p>
            <w:pPr>
              <w:spacing w:after="0"/>
              <w:rPr>
                <w:sz w:val="18"/>
                <w:szCs w:val="18"/>
                <w:color w:val="auto"/>
              </w:rPr>
            </w:pPr>
          </w:p>
        </w:tc>
      </w:tr>
      <w:tr>
        <w:trPr>
          <w:trHeight w:val="216"/>
        </w:trPr>
        <w:tc>
          <w:tcPr>
            <w:tcW w:w="43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9,552</w:t>
            </w:r>
          </w:p>
        </w:tc>
        <w:tc>
          <w:tcPr>
            <w:tcW w:w="2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9,052</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18,755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17,459</w:t>
            </w:r>
          </w:p>
        </w:tc>
        <w:tc>
          <w:tcPr>
            <w:tcW w:w="100" w:type="dxa"/>
            <w:vAlign w:val="bottom"/>
            <w:shd w:val="clear" w:color="auto" w:fill="CFF0FC"/>
          </w:tcPr>
          <w:p>
            <w:pPr>
              <w:spacing w:after="0"/>
              <w:rPr>
                <w:sz w:val="18"/>
                <w:szCs w:val="18"/>
                <w:color w:val="auto"/>
              </w:rPr>
            </w:pPr>
          </w:p>
        </w:tc>
      </w:tr>
      <w:tr>
        <w:trPr>
          <w:trHeight w:val="216"/>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Contingent consideration adjustment</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11,194</w:t>
            </w:r>
          </w:p>
        </w:tc>
        <w:tc>
          <w:tcPr>
            <w:tcW w:w="100" w:type="dxa"/>
            <w:vAlign w:val="bottom"/>
          </w:tcPr>
          <w:p>
            <w:pPr>
              <w:spacing w:after="0"/>
              <w:rPr>
                <w:sz w:val="18"/>
                <w:szCs w:val="18"/>
                <w:color w:val="auto"/>
              </w:rPr>
            </w:pPr>
          </w:p>
        </w:tc>
      </w:tr>
      <w:tr>
        <w:trPr>
          <w:trHeight w:val="216"/>
        </w:trPr>
        <w:tc>
          <w:tcPr>
            <w:tcW w:w="43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Restructuring costs</w:t>
            </w:r>
          </w:p>
        </w:tc>
        <w:tc>
          <w:tcPr>
            <w:tcW w:w="9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shd w:val="clear" w:color="auto" w:fill="CFF0FC"/>
          </w:tcPr>
          <w:p>
            <w:pPr>
              <w:spacing w:after="0"/>
              <w:rPr>
                <w:sz w:val="18"/>
                <w:szCs w:val="18"/>
                <w:color w:val="auto"/>
              </w:rPr>
            </w:pPr>
          </w:p>
        </w:tc>
      </w:tr>
      <w:tr>
        <w:trPr>
          <w:trHeight w:val="216"/>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Litigation settlement expense</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18"/>
                <w:szCs w:val="18"/>
                <w:color w:val="auto"/>
              </w:rPr>
            </w:pPr>
          </w:p>
        </w:tc>
      </w:tr>
      <w:tr>
        <w:trPr>
          <w:trHeight w:val="216"/>
        </w:trPr>
        <w:tc>
          <w:tcPr>
            <w:tcW w:w="43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Acquisition costs</w:t>
            </w:r>
          </w:p>
        </w:tc>
        <w:tc>
          <w:tcPr>
            <w:tcW w:w="9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2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FF0FC"/>
          </w:tcPr>
          <w:p>
            <w:pPr>
              <w:spacing w:after="0"/>
              <w:rPr>
                <w:sz w:val="18"/>
                <w:szCs w:val="18"/>
                <w:color w:val="auto"/>
              </w:rPr>
            </w:pPr>
          </w:p>
        </w:tc>
      </w:tr>
      <w:tr>
        <w:trPr>
          <w:trHeight w:val="216"/>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impact of non-GAAP items</w:t>
            </w:r>
          </w:p>
        </w:tc>
        <w:tc>
          <w:tcPr>
            <w:tcW w:w="9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(52,619)</w:t>
            </w:r>
          </w:p>
        </w:tc>
        <w:tc>
          <w:tcPr>
            <w:tcW w:w="5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(3,592)</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(56,249)</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(7,248)</w:t>
            </w:r>
          </w:p>
        </w:tc>
      </w:tr>
      <w:tr>
        <w:trPr>
          <w:trHeight w:val="20"/>
        </w:trPr>
        <w:tc>
          <w:tcPr>
            <w:tcW w:w="43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90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13,935</w:t>
            </w:r>
          </w:p>
        </w:tc>
        <w:tc>
          <w:tcPr>
            <w:tcW w:w="2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11,866</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27,051</w:t>
            </w:r>
          </w:p>
        </w:tc>
        <w:tc>
          <w:tcPr>
            <w:tcW w:w="1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24,409</w:t>
            </w:r>
          </w:p>
        </w:tc>
        <w:tc>
          <w:tcPr>
            <w:tcW w:w="100" w:type="dxa"/>
            <w:vAlign w:val="bottom"/>
            <w:shd w:val="clear" w:color="auto" w:fill="CFF0FC"/>
          </w:tcPr>
          <w:p>
            <w:pPr>
              <w:spacing w:after="0"/>
              <w:rPr>
                <w:sz w:val="19"/>
                <w:szCs w:val="19"/>
                <w:color w:val="auto"/>
              </w:rPr>
            </w:pPr>
          </w:p>
        </w:tc>
      </w:tr>
      <w:tr>
        <w:trPr>
          <w:trHeight w:val="20"/>
        </w:trPr>
        <w:tc>
          <w:tcPr>
            <w:tcW w:w="436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6"/>
        </w:trPr>
        <w:tc>
          <w:tcPr>
            <w:tcW w:w="4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Adjusted diluted net income per share</w:t>
            </w:r>
          </w:p>
        </w:tc>
        <w:tc>
          <w:tcPr>
            <w:tcW w:w="900" w:type="dxa"/>
            <w:vAlign w:val="bottom"/>
          </w:tcPr>
          <w:p>
            <w:pPr>
              <w:jc w:val="right"/>
              <w:ind w:right="739"/>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0.24</w:t>
            </w:r>
          </w:p>
        </w:tc>
        <w:tc>
          <w:tcPr>
            <w:tcW w:w="260" w:type="dxa"/>
            <w:vAlign w:val="bottom"/>
          </w:tcPr>
          <w:p>
            <w:pPr>
              <w:spacing w:after="0"/>
              <w:rPr>
                <w:sz w:val="17"/>
                <w:szCs w:val="17"/>
                <w:color w:val="auto"/>
              </w:rPr>
            </w:pPr>
          </w:p>
        </w:tc>
        <w:tc>
          <w:tcPr>
            <w:tcW w:w="560" w:type="dxa"/>
            <w:vAlign w:val="bottom"/>
          </w:tcPr>
          <w:p>
            <w:pPr>
              <w:jc w:val="right"/>
              <w:ind w:right="3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0.20</w:t>
            </w:r>
          </w:p>
        </w:tc>
        <w:tc>
          <w:tcPr>
            <w:tcW w:w="260" w:type="dxa"/>
            <w:vAlign w:val="bottom"/>
          </w:tcPr>
          <w:p>
            <w:pPr>
              <w:spacing w:after="0"/>
              <w:rPr>
                <w:sz w:val="17"/>
                <w:szCs w:val="17"/>
                <w:color w:val="auto"/>
              </w:rPr>
            </w:pPr>
          </w:p>
        </w:tc>
        <w:tc>
          <w:tcPr>
            <w:tcW w:w="340" w:type="dxa"/>
            <w:vAlign w:val="bottom"/>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0.46</w:t>
            </w:r>
          </w:p>
        </w:tc>
        <w:tc>
          <w:tcPr>
            <w:tcW w:w="160" w:type="dxa"/>
            <w:vAlign w:val="bottom"/>
          </w:tcPr>
          <w:p>
            <w:pPr>
              <w:spacing w:after="0"/>
              <w:rPr>
                <w:sz w:val="17"/>
                <w:szCs w:val="17"/>
                <w:color w:val="auto"/>
              </w:rPr>
            </w:pPr>
          </w:p>
        </w:tc>
        <w:tc>
          <w:tcPr>
            <w:tcW w:w="620" w:type="dxa"/>
            <w:vAlign w:val="bottom"/>
            <w:gridSpan w:val="2"/>
          </w:tcPr>
          <w:p>
            <w:pPr>
              <w:jc w:val="right"/>
              <w:ind w:right="4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17"/>
                <w:szCs w:val="17"/>
                <w:color w:val="auto"/>
              </w:rPr>
            </w:pPr>
          </w:p>
        </w:tc>
      </w:tr>
      <w:tr>
        <w:trPr>
          <w:trHeight w:val="20"/>
        </w:trPr>
        <w:tc>
          <w:tcPr>
            <w:tcW w:w="43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8"/>
        </w:trPr>
        <w:tc>
          <w:tcPr>
            <w:tcW w:w="436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Weighted average shares used in computing adjusted</w:t>
            </w:r>
          </w:p>
        </w:tc>
        <w:tc>
          <w:tcPr>
            <w:tcW w:w="9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34"/>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9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57,919</w:t>
            </w:r>
          </w:p>
        </w:tc>
        <w:tc>
          <w:tcPr>
            <w:tcW w:w="2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58,438</w:t>
            </w: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58,345</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58,158</w:t>
            </w:r>
          </w:p>
        </w:tc>
        <w:tc>
          <w:tcPr>
            <w:tcW w:w="100" w:type="dxa"/>
            <w:vAlign w:val="bottom"/>
            <w:shd w:val="clear" w:color="auto" w:fill="CFF0FC"/>
          </w:tcPr>
          <w:p>
            <w:pPr>
              <w:spacing w:after="0"/>
              <w:rPr>
                <w:sz w:val="20"/>
                <w:szCs w:val="20"/>
                <w:color w:val="auto"/>
              </w:rPr>
            </w:pPr>
          </w:p>
        </w:tc>
      </w:tr>
      <w:tr>
        <w:trPr>
          <w:trHeight w:val="1222"/>
        </w:trPr>
        <w:tc>
          <w:tcPr>
            <w:tcW w:w="43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-1250950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-1233805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-1250950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-1233805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-1250950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-1233805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-1250950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QUINSTREET,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INCOME (LOSS)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80" w:type="dxa"/>
            <w:vAlign w:val="bottom"/>
            <w:gridSpan w:val="4"/>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3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3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10"/>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720" w:type="dxa"/>
            <w:vAlign w:val="bottom"/>
            <w:gridSpan w:val="2"/>
            <w:shd w:val="clear" w:color="auto" w:fill="CFF0FC"/>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50,227</w:t>
            </w: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(1,549)</w:t>
            </w: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54,762</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(2,915)</w:t>
            </w:r>
          </w:p>
        </w:tc>
      </w:tr>
      <w:tr>
        <w:trPr>
          <w:trHeight w:val="216"/>
        </w:trPr>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Pr>
          <w:p>
            <w:pPr>
              <w:spacing w:after="0"/>
              <w:rPr>
                <w:sz w:val="18"/>
                <w:szCs w:val="18"/>
                <w:color w:val="auto"/>
              </w:rPr>
            </w:pPr>
          </w:p>
        </w:tc>
      </w:tr>
      <w:tr>
        <w:trPr>
          <w:trHeight w:val="216"/>
        </w:trPr>
        <w:tc>
          <w:tcPr>
            <w:tcW w:w="35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8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(48,917)</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(48,733)</w:t>
            </w:r>
          </w:p>
        </w:tc>
        <w:tc>
          <w:tcPr>
            <w:tcW w:w="5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10,749</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12,679</w:t>
            </w:r>
          </w:p>
        </w:tc>
        <w:tc>
          <w:tcPr>
            <w:tcW w:w="120" w:type="dxa"/>
            <w:vAlign w:val="bottom"/>
          </w:tcPr>
          <w:p>
            <w:pPr>
              <w:spacing w:after="0"/>
              <w:rPr>
                <w:sz w:val="18"/>
                <w:szCs w:val="18"/>
                <w:color w:val="auto"/>
              </w:rPr>
            </w:pPr>
          </w:p>
        </w:tc>
      </w:tr>
      <w:tr>
        <w:trPr>
          <w:trHeight w:val="216"/>
        </w:trPr>
        <w:tc>
          <w:tcPr>
            <w:tcW w:w="35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8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18,755</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17,459</w:t>
            </w:r>
          </w:p>
        </w:tc>
        <w:tc>
          <w:tcPr>
            <w:tcW w:w="120" w:type="dxa"/>
            <w:vAlign w:val="bottom"/>
            <w:shd w:val="clear" w:color="auto" w:fill="CFF0FC"/>
          </w:tcPr>
          <w:p>
            <w:pPr>
              <w:spacing w:after="0"/>
              <w:rPr>
                <w:sz w:val="18"/>
                <w:szCs w:val="18"/>
                <w:color w:val="auto"/>
              </w:rPr>
            </w:pPr>
          </w:p>
        </w:tc>
      </w:tr>
      <w:tr>
        <w:trPr>
          <w:trHeight w:val="216"/>
        </w:trPr>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Contingent consideration adjustment</w:t>
            </w: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11,194</w:t>
            </w:r>
          </w:p>
        </w:tc>
        <w:tc>
          <w:tcPr>
            <w:tcW w:w="120" w:type="dxa"/>
            <w:vAlign w:val="bottom"/>
          </w:tcPr>
          <w:p>
            <w:pPr>
              <w:spacing w:after="0"/>
              <w:rPr>
                <w:sz w:val="18"/>
                <w:szCs w:val="18"/>
                <w:color w:val="auto"/>
              </w:rPr>
            </w:pPr>
          </w:p>
        </w:tc>
      </w:tr>
      <w:tr>
        <w:trPr>
          <w:trHeight w:val="216"/>
        </w:trPr>
        <w:tc>
          <w:tcPr>
            <w:tcW w:w="35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Restructuring costs</w:t>
            </w:r>
          </w:p>
        </w:tc>
        <w:tc>
          <w:tcPr>
            <w:tcW w:w="8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shd w:val="clear" w:color="auto" w:fill="CFF0FC"/>
          </w:tcPr>
          <w:p>
            <w:pPr>
              <w:spacing w:after="0"/>
              <w:rPr>
                <w:sz w:val="18"/>
                <w:szCs w:val="18"/>
                <w:color w:val="auto"/>
              </w:rPr>
            </w:pPr>
          </w:p>
        </w:tc>
      </w:tr>
      <w:tr>
        <w:trPr>
          <w:trHeight w:val="216"/>
        </w:trPr>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Litigation settlement expense</w:t>
            </w: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tcPr>
          <w:p>
            <w:pPr>
              <w:spacing w:after="0"/>
              <w:rPr>
                <w:sz w:val="18"/>
                <w:szCs w:val="18"/>
                <w:color w:val="auto"/>
              </w:rPr>
            </w:pPr>
          </w:p>
        </w:tc>
      </w:tr>
      <w:tr>
        <w:trPr>
          <w:trHeight w:val="216"/>
        </w:trPr>
        <w:tc>
          <w:tcPr>
            <w:tcW w:w="35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Acquisition costs</w:t>
            </w:r>
          </w:p>
        </w:tc>
        <w:tc>
          <w:tcPr>
            <w:tcW w:w="82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28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720" w:type="dxa"/>
            <w:vAlign w:val="bottom"/>
            <w:gridSpan w:val="2"/>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20,976</w:t>
            </w:r>
          </w:p>
        </w:tc>
        <w:tc>
          <w:tcPr>
            <w:tcW w:w="180" w:type="dxa"/>
            <w:vAlign w:val="bottom"/>
          </w:tcPr>
          <w:p>
            <w:pPr>
              <w:spacing w:after="0"/>
              <w:rPr>
                <w:sz w:val="18"/>
                <w:szCs w:val="18"/>
                <w:color w:val="auto"/>
              </w:rPr>
            </w:pPr>
          </w:p>
        </w:tc>
        <w:tc>
          <w:tcPr>
            <w:tcW w:w="102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19,403</w:t>
            </w:r>
          </w:p>
        </w:tc>
        <w:tc>
          <w:tcPr>
            <w:tcW w:w="16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41,499</w:t>
            </w:r>
          </w:p>
        </w:tc>
        <w:tc>
          <w:tcPr>
            <w:tcW w:w="28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39,720</w:t>
            </w:r>
          </w:p>
        </w:tc>
        <w:tc>
          <w:tcPr>
            <w:tcW w:w="120" w:type="dxa"/>
            <w:vAlign w:val="bottom"/>
          </w:tcPr>
          <w:p>
            <w:pPr>
              <w:spacing w:after="0"/>
              <w:rPr>
                <w:sz w:val="18"/>
                <w:szCs w:val="18"/>
                <w:color w:val="auto"/>
              </w:rPr>
            </w:pPr>
          </w:p>
        </w:tc>
      </w:tr>
      <w:tr>
        <w:trPr>
          <w:trHeight w:val="20"/>
        </w:trPr>
        <w:tc>
          <w:tcPr>
            <w:tcW w:w="3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02"/>
        </w:trPr>
        <w:tc>
          <w:tcPr>
            <w:tcW w:w="35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-959485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-959485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-959485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-959485</wp:posOffset>
            </wp:positionV>
            <wp:extent cx="774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QUINSTREET,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CASH PROVIDED BY (USED IN)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OPERATING ACTIVITIES TO FREE CASH FLOW</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NORMALIZED FREE CASH FLOW</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740" w:type="dxa"/>
            <w:vAlign w:val="bottom"/>
            <w:gridSpan w:val="4"/>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3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3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09"/>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560" w:type="dxa"/>
            <w:vAlign w:val="bottom"/>
            <w:gridSpan w:val="2"/>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21,623</w:t>
            </w: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38,678</w:t>
            </w: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41,224</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24,972</w:t>
            </w:r>
          </w:p>
        </w:tc>
        <w:tc>
          <w:tcPr>
            <w:tcW w:w="120" w:type="dxa"/>
            <w:vAlign w:val="bottom"/>
            <w:shd w:val="clear" w:color="auto" w:fill="CFF0FC"/>
          </w:tcPr>
          <w:p>
            <w:pPr>
              <w:spacing w:after="0"/>
              <w:rPr>
                <w:sz w:val="18"/>
                <w:szCs w:val="18"/>
                <w:color w:val="auto"/>
              </w:rPr>
            </w:pPr>
          </w:p>
        </w:tc>
      </w:tr>
      <w:tr>
        <w:trPr>
          <w:trHeight w:val="216"/>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 expenditures</w:t>
            </w: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(2,063)</w:t>
            </w:r>
          </w:p>
        </w:tc>
        <w:tc>
          <w:tcPr>
            <w:tcW w:w="5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(884)</w:t>
            </w:r>
          </w:p>
        </w:tc>
      </w:tr>
      <w:tr>
        <w:trPr>
          <w:trHeight w:val="216"/>
        </w:trPr>
        <w:tc>
          <w:tcPr>
            <w:tcW w:w="37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Internal software development costs</w:t>
            </w:r>
          </w:p>
        </w:tc>
        <w:tc>
          <w:tcPr>
            <w:tcW w:w="6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(2,581)</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(2,321)</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(5,499)</w:t>
            </w:r>
          </w:p>
        </w:tc>
        <w:tc>
          <w:tcPr>
            <w:tcW w:w="5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(4,490)</w:t>
            </w:r>
          </w:p>
        </w:tc>
      </w:tr>
      <w:tr>
        <w:trPr>
          <w:trHeight w:val="210"/>
        </w:trPr>
        <w:tc>
          <w:tcPr>
            <w:tcW w:w="3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640" w:type="dxa"/>
            <w:vAlign w:val="bottom"/>
            <w:tcBorders>
              <w:top w:val="single" w:sz="8" w:color="CFF0FC"/>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18,153</w:t>
            </w: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35,910</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33,662</w:t>
            </w:r>
          </w:p>
        </w:tc>
        <w:tc>
          <w:tcPr>
            <w:tcW w:w="280" w:type="dxa"/>
            <w:vAlign w:val="bottom"/>
            <w:tcBorders>
              <w:top w:val="single" w:sz="8" w:color="CFF0FC"/>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19,598</w:t>
            </w:r>
          </w:p>
        </w:tc>
        <w:tc>
          <w:tcPr>
            <w:tcW w:w="120" w:type="dxa"/>
            <w:vAlign w:val="bottom"/>
            <w:tcBorders>
              <w:top w:val="single" w:sz="8" w:color="CFF0FC"/>
            </w:tcBorders>
          </w:tcPr>
          <w:p>
            <w:pPr>
              <w:spacing w:after="0"/>
              <w:rPr>
                <w:sz w:val="18"/>
                <w:szCs w:val="18"/>
                <w:color w:val="auto"/>
              </w:rPr>
            </w:pPr>
          </w:p>
        </w:tc>
      </w:tr>
      <w:tr>
        <w:trPr>
          <w:trHeight w:val="216"/>
        </w:trPr>
        <w:tc>
          <w:tcPr>
            <w:tcW w:w="37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6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(1,904)</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(19,457)</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(1,899)</w:t>
            </w:r>
          </w:p>
        </w:tc>
        <w:tc>
          <w:tcPr>
            <w:tcW w:w="5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14,920</w:t>
            </w:r>
          </w:p>
        </w:tc>
        <w:tc>
          <w:tcPr>
            <w:tcW w:w="120" w:type="dxa"/>
            <w:vAlign w:val="bottom"/>
            <w:shd w:val="clear" w:color="auto" w:fill="CFF0FC"/>
          </w:tcPr>
          <w:p>
            <w:pPr>
              <w:spacing w:after="0"/>
              <w:rPr>
                <w:sz w:val="18"/>
                <w:szCs w:val="18"/>
                <w:color w:val="auto"/>
              </w:rPr>
            </w:pPr>
          </w:p>
        </w:tc>
      </w:tr>
      <w:tr>
        <w:trPr>
          <w:trHeight w:val="20"/>
        </w:trPr>
        <w:tc>
          <w:tcPr>
            <w:tcW w:w="370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Normalized free cash flow</w:t>
            </w:r>
          </w:p>
        </w:tc>
        <w:tc>
          <w:tcPr>
            <w:tcW w:w="640" w:type="dxa"/>
            <w:vAlign w:val="bottom"/>
          </w:tcPr>
          <w:p>
            <w:pPr>
              <w:spacing w:after="0"/>
              <w:rPr>
                <w:sz w:val="18"/>
                <w:szCs w:val="18"/>
                <w:color w:val="auto"/>
              </w:rPr>
            </w:pP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16,249</w:t>
            </w:r>
          </w:p>
        </w:tc>
        <w:tc>
          <w:tcPr>
            <w:tcW w:w="180" w:type="dxa"/>
            <w:vAlign w:val="bottom"/>
          </w:tcPr>
          <w:p>
            <w:pPr>
              <w:spacing w:after="0"/>
              <w:rPr>
                <w:sz w:val="18"/>
                <w:szCs w:val="18"/>
                <w:color w:val="auto"/>
              </w:rPr>
            </w:pPr>
          </w:p>
        </w:tc>
        <w:tc>
          <w:tcPr>
            <w:tcW w:w="1000" w:type="dxa"/>
            <w:vAlign w:val="bottom"/>
            <w:gridSpan w:val="2"/>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16,453</w:t>
            </w:r>
          </w:p>
        </w:tc>
        <w:tc>
          <w:tcPr>
            <w:tcW w:w="160" w:type="dxa"/>
            <w:vAlign w:val="bottom"/>
          </w:tcPr>
          <w:p>
            <w:pPr>
              <w:spacing w:after="0"/>
              <w:rPr>
                <w:sz w:val="18"/>
                <w:szCs w:val="18"/>
                <w:color w:val="auto"/>
              </w:rPr>
            </w:pPr>
          </w:p>
        </w:tc>
        <w:tc>
          <w:tcPr>
            <w:tcW w:w="106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31,763</w:t>
            </w:r>
          </w:p>
        </w:tc>
        <w:tc>
          <w:tcPr>
            <w:tcW w:w="28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34,518</w:t>
            </w:r>
          </w:p>
        </w:tc>
        <w:tc>
          <w:tcPr>
            <w:tcW w:w="120" w:type="dxa"/>
            <w:vAlign w:val="bottom"/>
          </w:tcPr>
          <w:p>
            <w:pPr>
              <w:spacing w:after="0"/>
              <w:rPr>
                <w:sz w:val="18"/>
                <w:szCs w:val="18"/>
                <w:color w:val="auto"/>
              </w:rPr>
            </w:pPr>
          </w:p>
        </w:tc>
      </w:tr>
      <w:tr>
        <w:trPr>
          <w:trHeight w:val="20"/>
        </w:trPr>
        <w:tc>
          <w:tcPr>
            <w:tcW w:w="3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03"/>
        </w:trPr>
        <w:tc>
          <w:tcPr>
            <w:tcW w:w="37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-1242695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-1242695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-1242695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-1242695</wp:posOffset>
            </wp:positionV>
            <wp:extent cx="774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-959485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-959485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-959485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-959485</wp:posOffset>
            </wp:positionV>
            <wp:extent cx="774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QUINSTREET,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28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28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10"/>
        </w:trPr>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4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2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Financial Services</w:t>
            </w:r>
          </w:p>
        </w:tc>
        <w:tc>
          <w:tcPr>
            <w:tcW w:w="234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216,797</w:t>
            </w:r>
          </w:p>
        </w:tc>
        <w:tc>
          <w:tcPr>
            <w:tcW w:w="8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219,934</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424,273</w:t>
            </w: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430,825</w:t>
            </w:r>
          </w:p>
        </w:tc>
        <w:tc>
          <w:tcPr>
            <w:tcW w:w="120" w:type="dxa"/>
            <w:vAlign w:val="bottom"/>
          </w:tcPr>
          <w:p>
            <w:pPr>
              <w:spacing w:after="0"/>
              <w:rPr>
                <w:sz w:val="18"/>
                <w:szCs w:val="18"/>
                <w:color w:val="auto"/>
              </w:rPr>
            </w:pPr>
          </w:p>
        </w:tc>
      </w:tr>
      <w:tr>
        <w:trPr>
          <w:trHeight w:val="216"/>
        </w:trPr>
        <w:tc>
          <w:tcPr>
            <w:tcW w:w="28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Home Services</w:t>
            </w:r>
          </w:p>
        </w:tc>
        <w:tc>
          <w:tcPr>
            <w:tcW w:w="146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71,048</w:t>
            </w:r>
          </w:p>
        </w:tc>
        <w:tc>
          <w:tcPr>
            <w:tcW w:w="28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62,662</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149,425</w:t>
            </w:r>
          </w:p>
        </w:tc>
        <w:tc>
          <w:tcPr>
            <w:tcW w:w="28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130,990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234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287,845</w:t>
            </w:r>
          </w:p>
        </w:tc>
        <w:tc>
          <w:tcPr>
            <w:tcW w:w="8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282,596</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573,698</w:t>
            </w: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561,815</w:t>
            </w:r>
          </w:p>
        </w:tc>
        <w:tc>
          <w:tcPr>
            <w:tcW w:w="120" w:type="dxa"/>
            <w:vAlign w:val="bottom"/>
          </w:tcPr>
          <w:p>
            <w:pPr>
              <w:spacing w:after="0"/>
              <w:rPr>
                <w:sz w:val="18"/>
                <w:szCs w:val="18"/>
                <w:color w:val="auto"/>
              </w:rPr>
            </w:pPr>
          </w:p>
        </w:tc>
      </w:tr>
      <w:tr>
        <w:trPr>
          <w:trHeight w:val="20"/>
        </w:trPr>
        <w:tc>
          <w:tcPr>
            <w:tcW w:w="28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03"/>
        </w:trPr>
        <w:tc>
          <w:tcPr>
            <w:tcW w:w="28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-959485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-959485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-959485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-959485</wp:posOffset>
            </wp:positionV>
            <wp:extent cx="774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0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lowerRoman"/>
      <w:start w:val="2"/>
    </w:lvl>
  </w:abstractNum>
  <w:abstractNum w:abstractNumId="4">
    <w:nsid w:val="507ED7AB"/>
    <w:multiLevelType w:val="hybridMultilevel"/>
    <w:lvl w:ilvl="0">
      <w:lvlJc w:val="left"/>
      <w:lvlText w:val="(%1)"/>
      <w:numFmt w:val="lowerRoman"/>
      <w:start w:val="4"/>
    </w:lvl>
  </w:abstractNum>
  <w:abstractNum w:abstractNumId="5">
    <w:nsid w:val="2EB141F2"/>
    <w:multiLevelType w:val="hybridMultilevel"/>
    <w:lvl w:ilvl="0">
      <w:lvlJc w:val="left"/>
      <w:lvlText w:val="(%1)"/>
      <w:numFmt w:val="decimal"/>
      <w:start w:val="347"/>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2026-02-05T15:26:46Z</dcterms:created>
  <dcterms:modified xsi:type="dcterms:W3CDTF">2026-02-05T15:26:46Z</dcterms:modified>
</cp:coreProperties>
</file>